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0000" w:rsidRDefault="009B68CB">
      <w:pPr>
        <w:pStyle w:val="Header"/>
        <w:bidi w:val="0"/>
        <w:jc w:val="right"/>
        <w:divId w:val="736245916"/>
      </w:pPr>
      <w:bookmarkStart w:id="0" w:name="_GoBack"/>
      <w:bookmarkEnd w:id="0"/>
    </w:p>
    <w:p w:rsidR="00000000" w:rsidRDefault="009B68CB">
      <w:pPr>
        <w:spacing w:after="0" w:line="360" w:lineRule="auto"/>
        <w:rPr>
          <w:rFonts w:hint="cs"/>
          <w:rtl/>
        </w:rPr>
      </w:pPr>
      <w:bookmarkStart w:id="1" w:name="to_string"/>
      <w:r>
        <w:rPr>
          <w:rFonts w:cs="David" w:hint="cs"/>
          <w:rtl/>
        </w:rPr>
        <w:t> </w:t>
      </w:r>
      <w:bookmarkEnd w:id="1"/>
    </w:p>
    <w:p w:rsidR="00000000" w:rsidRDefault="009B68CB">
      <w:pPr>
        <w:spacing w:after="0" w:line="360" w:lineRule="auto"/>
        <w:rPr>
          <w:rtl/>
        </w:rPr>
      </w:pPr>
      <w:r>
        <w:rPr>
          <w:rFonts w:cs="David" w:hint="cs"/>
          <w:rtl/>
        </w:rPr>
        <w:t> </w:t>
      </w:r>
    </w:p>
    <w:p w:rsidR="00000000" w:rsidRDefault="009B68CB">
      <w:pPr>
        <w:spacing w:after="0" w:line="360" w:lineRule="auto"/>
        <w:rPr>
          <w:rtl/>
        </w:rPr>
      </w:pPr>
      <w:r>
        <w:rPr>
          <w:rStyle w:val="Strong"/>
          <w:rFonts w:cs="David" w:hint="cs"/>
          <w:sz w:val="28"/>
          <w:szCs w:val="28"/>
          <w:rtl/>
        </w:rPr>
        <w:t xml:space="preserve">מדינת ישראל בתי המשפט </w:t>
      </w:r>
    </w:p>
    <w:p w:rsidR="00000000" w:rsidRDefault="009B68CB">
      <w:pPr>
        <w:spacing w:after="0" w:line="360" w:lineRule="auto"/>
        <w:rPr>
          <w:rtl/>
        </w:rPr>
      </w:pPr>
      <w:r>
        <w:rPr>
          <w:rStyle w:val="Strong"/>
          <w:rFonts w:cs="David" w:hint="cs"/>
          <w:sz w:val="28"/>
          <w:szCs w:val="28"/>
          <w:rtl/>
        </w:rPr>
        <w:t>בית משפט מחוזי בתל אביב</w:t>
      </w:r>
    </w:p>
    <w:p w:rsidR="00000000" w:rsidRDefault="009B68CB">
      <w:pPr>
        <w:spacing w:after="0" w:line="360" w:lineRule="auto"/>
        <w:rPr>
          <w:rtl/>
        </w:rPr>
      </w:pPr>
      <w:r>
        <w:rPr>
          <w:rStyle w:val="Strong"/>
          <w:rFonts w:cs="David" w:hint="cs"/>
          <w:sz w:val="28"/>
          <w:szCs w:val="28"/>
          <w:rtl/>
        </w:rPr>
        <w:t>ע"פ 191/89</w:t>
      </w:r>
    </w:p>
    <w:p w:rsidR="00000000" w:rsidRDefault="009B68CB">
      <w:pPr>
        <w:spacing w:after="0" w:line="360" w:lineRule="auto"/>
        <w:rPr>
          <w:rtl/>
        </w:rPr>
      </w:pPr>
      <w:r>
        <w:rPr>
          <w:rStyle w:val="Strong"/>
          <w:rFonts w:cs="David" w:hint="cs"/>
          <w:sz w:val="28"/>
          <w:szCs w:val="28"/>
          <w:rtl/>
        </w:rPr>
        <w:t> </w:t>
      </w:r>
    </w:p>
    <w:p w:rsidR="00000000" w:rsidRDefault="009B68CB">
      <w:pPr>
        <w:spacing w:after="0" w:line="360" w:lineRule="auto"/>
        <w:rPr>
          <w:rtl/>
        </w:rPr>
      </w:pPr>
      <w:r>
        <w:rPr>
          <w:rStyle w:val="Strong"/>
          <w:rFonts w:cs="David" w:hint="cs"/>
          <w:sz w:val="28"/>
          <w:szCs w:val="28"/>
          <w:rtl/>
        </w:rPr>
        <w:t> </w:t>
      </w:r>
    </w:p>
    <w:p w:rsidR="00000000" w:rsidRDefault="009B68CB">
      <w:pPr>
        <w:spacing w:after="0" w:line="360" w:lineRule="auto"/>
        <w:rPr>
          <w:rtl/>
        </w:rPr>
      </w:pPr>
      <w:r>
        <w:rPr>
          <w:rFonts w:cs="David" w:hint="cs"/>
          <w:rtl/>
        </w:rPr>
        <w:t xml:space="preserve">ע.פ. 191/89                                                        בפני הרכב ס"נ השופט י. גלעדי </w:t>
      </w:r>
    </w:p>
    <w:p w:rsidR="00000000" w:rsidRDefault="009B68CB">
      <w:pPr>
        <w:spacing w:after="0" w:line="360" w:lineRule="auto"/>
        <w:rPr>
          <w:rtl/>
        </w:rPr>
      </w:pPr>
      <w:r>
        <w:rPr>
          <w:rFonts w:cs="David" w:hint="cs"/>
          <w:rtl/>
        </w:rPr>
        <w:t>                     </w:t>
      </w:r>
      <w:r>
        <w:rPr>
          <w:rFonts w:cs="David" w:hint="cs"/>
          <w:rtl/>
        </w:rPr>
        <w:t>                                                                   כב' השפוט י. גולדברג</w:t>
      </w:r>
    </w:p>
    <w:p w:rsidR="00000000" w:rsidRDefault="009B68CB">
      <w:pPr>
        <w:spacing w:after="0" w:line="360" w:lineRule="auto"/>
        <w:rPr>
          <w:rtl/>
        </w:rPr>
      </w:pPr>
      <w:r>
        <w:rPr>
          <w:rFonts w:cs="David" w:hint="cs"/>
          <w:rtl/>
        </w:rPr>
        <w:t>                                                                                         כב' השופטת ע. ארבל</w:t>
      </w:r>
    </w:p>
    <w:p w:rsidR="00000000" w:rsidRDefault="009B68CB">
      <w:pPr>
        <w:spacing w:after="0" w:line="360" w:lineRule="auto"/>
        <w:rPr>
          <w:rtl/>
        </w:rPr>
      </w:pPr>
      <w:r>
        <w:rPr>
          <w:rFonts w:cs="David" w:hint="cs"/>
          <w:rtl/>
        </w:rPr>
        <w:t> </w:t>
      </w:r>
    </w:p>
    <w:p w:rsidR="00000000" w:rsidRDefault="009B68CB">
      <w:pPr>
        <w:spacing w:after="0" w:line="360" w:lineRule="auto"/>
        <w:rPr>
          <w:rtl/>
        </w:rPr>
      </w:pPr>
      <w:r>
        <w:rPr>
          <w:rFonts w:cs="David" w:hint="cs"/>
          <w:rtl/>
        </w:rPr>
        <w:t> </w:t>
      </w:r>
    </w:p>
    <w:p w:rsidR="00000000" w:rsidRDefault="009B68CB">
      <w:pPr>
        <w:spacing w:after="0" w:line="360" w:lineRule="auto"/>
        <w:rPr>
          <w:rtl/>
        </w:rPr>
      </w:pPr>
      <w:r>
        <w:rPr>
          <w:rFonts w:cs="David" w:hint="cs"/>
          <w:rtl/>
        </w:rPr>
        <w:t>המערערת:        "תנובה"</w:t>
      </w:r>
    </w:p>
    <w:p w:rsidR="00000000" w:rsidRDefault="009B68CB">
      <w:pPr>
        <w:spacing w:after="0" w:line="360" w:lineRule="auto"/>
        <w:rPr>
          <w:rtl/>
        </w:rPr>
      </w:pPr>
      <w:r>
        <w:rPr>
          <w:rFonts w:cs="David" w:hint="cs"/>
          <w:rtl/>
        </w:rPr>
        <w:t>                        מרכז שית</w:t>
      </w:r>
      <w:r>
        <w:rPr>
          <w:rFonts w:cs="David" w:hint="cs"/>
          <w:rtl/>
        </w:rPr>
        <w:t>ופי לשיווק תוצרת חקלאית בישראל בע"מ ואח'</w:t>
      </w:r>
    </w:p>
    <w:p w:rsidR="00000000" w:rsidRDefault="009B68CB">
      <w:pPr>
        <w:spacing w:after="0" w:line="360" w:lineRule="auto"/>
        <w:rPr>
          <w:rtl/>
        </w:rPr>
      </w:pPr>
      <w:r>
        <w:rPr>
          <w:rFonts w:cs="David" w:hint="cs"/>
          <w:rtl/>
        </w:rPr>
        <w:t>                        ע"י עו"ד לילי דורון</w:t>
      </w:r>
    </w:p>
    <w:p w:rsidR="00000000" w:rsidRDefault="009B68CB">
      <w:pPr>
        <w:spacing w:after="0" w:line="360" w:lineRule="auto"/>
        <w:rPr>
          <w:rtl/>
        </w:rPr>
      </w:pPr>
      <w:r>
        <w:rPr>
          <w:rFonts w:cs="David" w:hint="cs"/>
          <w:rtl/>
        </w:rPr>
        <w:t> </w:t>
      </w:r>
    </w:p>
    <w:p w:rsidR="00000000" w:rsidRDefault="009B68CB">
      <w:pPr>
        <w:spacing w:after="0" w:line="360" w:lineRule="auto"/>
        <w:rPr>
          <w:rtl/>
        </w:rPr>
      </w:pPr>
      <w:r>
        <w:rPr>
          <w:rFonts w:cs="David" w:hint="cs"/>
          <w:rtl/>
        </w:rPr>
        <w:t> </w:t>
      </w:r>
    </w:p>
    <w:p w:rsidR="00000000" w:rsidRDefault="009B68CB">
      <w:pPr>
        <w:spacing w:after="0" w:line="360" w:lineRule="auto"/>
        <w:jc w:val="center"/>
        <w:rPr>
          <w:rtl/>
        </w:rPr>
      </w:pPr>
      <w:r>
        <w:rPr>
          <w:rFonts w:cs="David" w:hint="cs"/>
          <w:rtl/>
        </w:rPr>
        <w:t>- נ ג ד -</w:t>
      </w:r>
    </w:p>
    <w:p w:rsidR="00000000" w:rsidRDefault="009B68CB">
      <w:pPr>
        <w:spacing w:after="0" w:line="360" w:lineRule="auto"/>
        <w:jc w:val="center"/>
        <w:rPr>
          <w:rtl/>
        </w:rPr>
      </w:pPr>
      <w:r>
        <w:rPr>
          <w:rFonts w:cs="David" w:hint="cs"/>
          <w:rtl/>
        </w:rPr>
        <w:t> </w:t>
      </w:r>
    </w:p>
    <w:p w:rsidR="00000000" w:rsidRDefault="009B68CB">
      <w:pPr>
        <w:spacing w:after="0" w:line="360" w:lineRule="auto"/>
        <w:jc w:val="center"/>
        <w:rPr>
          <w:rtl/>
        </w:rPr>
      </w:pPr>
      <w:r>
        <w:rPr>
          <w:rFonts w:cs="David" w:hint="cs"/>
          <w:rtl/>
        </w:rPr>
        <w:t> </w:t>
      </w:r>
    </w:p>
    <w:p w:rsidR="00000000" w:rsidRDefault="009B68CB">
      <w:pPr>
        <w:spacing w:after="0" w:line="360" w:lineRule="auto"/>
        <w:jc w:val="center"/>
        <w:rPr>
          <w:rtl/>
        </w:rPr>
      </w:pPr>
      <w:r>
        <w:rPr>
          <w:rFonts w:cs="David" w:hint="cs"/>
          <w:rtl/>
        </w:rPr>
        <w:t> </w:t>
      </w:r>
    </w:p>
    <w:p w:rsidR="00000000" w:rsidRDefault="009B68CB">
      <w:pPr>
        <w:spacing w:after="0" w:line="360" w:lineRule="auto"/>
        <w:jc w:val="both"/>
        <w:rPr>
          <w:rtl/>
        </w:rPr>
      </w:pPr>
      <w:r>
        <w:rPr>
          <w:rFonts w:cs="David" w:hint="cs"/>
          <w:rtl/>
        </w:rPr>
        <w:t>המשיבה:          מדינת ישראל ואח'</w:t>
      </w:r>
    </w:p>
    <w:p w:rsidR="00000000" w:rsidRDefault="009B68CB">
      <w:pPr>
        <w:spacing w:after="0" w:line="360" w:lineRule="auto"/>
        <w:jc w:val="both"/>
        <w:rPr>
          <w:rtl/>
        </w:rPr>
      </w:pPr>
      <w:r>
        <w:rPr>
          <w:rFonts w:cs="David" w:hint="cs"/>
          <w:rtl/>
        </w:rPr>
        <w:t xml:space="preserve">                        ע"י עו"ד מ. מנראי </w:t>
      </w:r>
    </w:p>
    <w:p w:rsidR="00000000" w:rsidRDefault="009B68CB">
      <w:pPr>
        <w:spacing w:after="0" w:line="360" w:lineRule="auto"/>
        <w:jc w:val="both"/>
        <w:rPr>
          <w:rtl/>
        </w:rPr>
      </w:pPr>
      <w:r>
        <w:rPr>
          <w:rFonts w:cs="David" w:hint="cs"/>
          <w:rtl/>
        </w:rPr>
        <w:t> </w:t>
      </w:r>
    </w:p>
    <w:p w:rsidR="00000000" w:rsidRDefault="009B68CB">
      <w:pPr>
        <w:spacing w:after="0" w:line="360" w:lineRule="auto"/>
        <w:jc w:val="both"/>
        <w:rPr>
          <w:rtl/>
        </w:rPr>
      </w:pPr>
      <w:r>
        <w:rPr>
          <w:rFonts w:cs="David" w:hint="cs"/>
          <w:rtl/>
        </w:rPr>
        <w:t> </w:t>
      </w:r>
    </w:p>
    <w:p w:rsidR="00000000" w:rsidRDefault="009B68CB">
      <w:pPr>
        <w:spacing w:after="0" w:line="360" w:lineRule="auto"/>
        <w:jc w:val="both"/>
        <w:rPr>
          <w:rtl/>
        </w:rPr>
      </w:pPr>
      <w:r>
        <w:rPr>
          <w:rFonts w:cs="David" w:hint="cs"/>
          <w:rtl/>
        </w:rPr>
        <w:t> </w:t>
      </w:r>
    </w:p>
    <w:p w:rsidR="00000000" w:rsidRDefault="009B68CB">
      <w:pPr>
        <w:spacing w:after="0" w:line="360" w:lineRule="auto"/>
        <w:jc w:val="center"/>
        <w:rPr>
          <w:rtl/>
        </w:rPr>
      </w:pPr>
      <w:r>
        <w:rPr>
          <w:rStyle w:val="Strong"/>
          <w:rFonts w:cs="David" w:hint="cs"/>
          <w:sz w:val="28"/>
          <w:szCs w:val="28"/>
          <w:u w:val="single"/>
          <w:rtl/>
        </w:rPr>
        <w:t>פסק - דין</w:t>
      </w:r>
    </w:p>
    <w:p w:rsidR="00000000" w:rsidRDefault="009B68CB">
      <w:pPr>
        <w:spacing w:after="0" w:line="360" w:lineRule="auto"/>
        <w:jc w:val="center"/>
        <w:rPr>
          <w:rtl/>
        </w:rPr>
      </w:pPr>
      <w:r>
        <w:rPr>
          <w:rFonts w:cs="David" w:hint="cs"/>
          <w:rtl/>
        </w:rPr>
        <w:t> </w:t>
      </w:r>
    </w:p>
    <w:p w:rsidR="00000000" w:rsidRDefault="009B68CB">
      <w:pPr>
        <w:spacing w:after="0" w:line="360" w:lineRule="auto"/>
        <w:jc w:val="both"/>
        <w:rPr>
          <w:rtl/>
        </w:rPr>
      </w:pPr>
      <w:r>
        <w:rPr>
          <w:rFonts w:cs="David" w:hint="cs"/>
          <w:rtl/>
        </w:rPr>
        <w:t> </w:t>
      </w:r>
    </w:p>
    <w:p w:rsidR="00000000" w:rsidRDefault="009B68CB">
      <w:pPr>
        <w:spacing w:after="0" w:line="360" w:lineRule="auto"/>
        <w:ind w:left="657" w:hanging="657"/>
        <w:jc w:val="both"/>
        <w:rPr>
          <w:rtl/>
        </w:rPr>
      </w:pPr>
      <w:r>
        <w:rPr>
          <w:rFonts w:cs="David" w:hint="cs"/>
          <w:rtl/>
        </w:rPr>
        <w:t xml:space="preserve">           </w:t>
      </w:r>
      <w:r>
        <w:rPr>
          <w:rFonts w:cs="David" w:hint="cs"/>
          <w:rtl/>
        </w:rPr>
        <w:t>המערערת מס' 1 (להלן, המערערת) ושלוש ממנהיליה (המערערים  2- 4 ) וכן המשיבה מס' 3 ומנהליה הורשעו בבית משפט השלום בעבעירה על סעיפים 2, 18, 40, 42 ו - 44 לחוק ההגבלים העסקים תשי"ט - 1959 והוטלו עליהם קנסות. בפנינו ערעור המערערים על הרשעתם.</w:t>
      </w:r>
    </w:p>
    <w:p w:rsidR="00000000" w:rsidRDefault="009B68CB">
      <w:pPr>
        <w:spacing w:after="0" w:line="360" w:lineRule="auto"/>
        <w:ind w:left="657" w:hanging="657"/>
        <w:jc w:val="both"/>
        <w:rPr>
          <w:rtl/>
        </w:rPr>
      </w:pPr>
      <w:r>
        <w:rPr>
          <w:rFonts w:cs="David" w:hint="cs"/>
          <w:rtl/>
        </w:rPr>
        <w:t> </w:t>
      </w:r>
    </w:p>
    <w:p w:rsidR="00000000" w:rsidRDefault="009B68CB">
      <w:pPr>
        <w:spacing w:after="0" w:line="360" w:lineRule="auto"/>
        <w:ind w:left="657" w:hanging="657"/>
        <w:jc w:val="both"/>
        <w:rPr>
          <w:rtl/>
        </w:rPr>
      </w:pPr>
      <w:r>
        <w:rPr>
          <w:rFonts w:cs="David" w:hint="cs"/>
          <w:rtl/>
        </w:rPr>
        <w:t xml:space="preserve">           </w:t>
      </w:r>
      <w:r>
        <w:rPr>
          <w:rStyle w:val="Strong"/>
          <w:rFonts w:cs="David" w:hint="cs"/>
          <w:u w:val="single"/>
          <w:rtl/>
        </w:rPr>
        <w:t>העובדות</w:t>
      </w:r>
    </w:p>
    <w:p w:rsidR="00000000" w:rsidRDefault="009B68CB">
      <w:pPr>
        <w:spacing w:after="0" w:line="360" w:lineRule="auto"/>
        <w:ind w:left="657" w:hanging="657"/>
        <w:jc w:val="both"/>
        <w:rPr>
          <w:rtl/>
        </w:rPr>
      </w:pPr>
      <w:r>
        <w:rPr>
          <w:rFonts w:cs="David" w:hint="cs"/>
          <w:rtl/>
        </w:rPr>
        <w:t> </w:t>
      </w:r>
    </w:p>
    <w:p w:rsidR="00000000" w:rsidRDefault="009B68CB">
      <w:pPr>
        <w:spacing w:after="0" w:line="360" w:lineRule="auto"/>
        <w:ind w:left="657" w:hanging="657"/>
        <w:jc w:val="both"/>
        <w:rPr>
          <w:rtl/>
        </w:rPr>
      </w:pPr>
      <w:r>
        <w:rPr>
          <w:rFonts w:cs="David" w:hint="cs"/>
          <w:rtl/>
        </w:rPr>
        <w:lastRenderedPageBreak/>
        <w:t>           בתאריך 24.2.84 נחתם הסכם שותפות (ת/1) בין ארבעה והם המערערת ; קאופ ת"א דן השרון בע"מ (המשיבה 3 ): המשביר לצרכן בע"מ והמשביר המרכזי בע"מ. השותפות שנוצרה הפעילה "סופר שוק" למכירת טובין מסוגים שונים על שטח בבאר שבע אותו שכרה המשיבה מס' 3 מבעליו.</w:t>
      </w:r>
    </w:p>
    <w:p w:rsidR="00000000" w:rsidRDefault="009B68CB">
      <w:pPr>
        <w:spacing w:after="0" w:line="360" w:lineRule="auto"/>
        <w:ind w:left="657" w:hanging="657"/>
        <w:jc w:val="both"/>
        <w:rPr>
          <w:rtl/>
        </w:rPr>
      </w:pPr>
      <w:r>
        <w:rPr>
          <w:rFonts w:cs="David" w:hint="cs"/>
          <w:rtl/>
        </w:rPr>
        <w:t> </w:t>
      </w:r>
    </w:p>
    <w:p w:rsidR="00000000" w:rsidRDefault="009B68CB">
      <w:pPr>
        <w:spacing w:after="0" w:line="360" w:lineRule="auto"/>
        <w:ind w:left="657" w:hanging="657"/>
        <w:jc w:val="both"/>
        <w:rPr>
          <w:rtl/>
        </w:rPr>
      </w:pPr>
      <w:r>
        <w:rPr>
          <w:rFonts w:cs="David" w:hint="cs"/>
          <w:rtl/>
        </w:rPr>
        <w:t xml:space="preserve">           </w:t>
      </w:r>
    </w:p>
    <w:p w:rsidR="00000000" w:rsidRDefault="009B68CB">
      <w:pPr>
        <w:spacing w:after="0" w:line="360" w:lineRule="auto"/>
        <w:ind w:left="657" w:hanging="657"/>
        <w:jc w:val="both"/>
        <w:rPr>
          <w:rtl/>
        </w:rPr>
      </w:pPr>
      <w:r>
        <w:rPr>
          <w:rFonts w:cs="David" w:hint="cs"/>
          <w:rtl/>
        </w:rPr>
        <w:t> </w:t>
      </w:r>
    </w:p>
    <w:p w:rsidR="00000000" w:rsidRDefault="009B68CB">
      <w:pPr>
        <w:spacing w:after="0" w:line="360" w:lineRule="auto"/>
        <w:ind w:left="657" w:hanging="657"/>
        <w:jc w:val="both"/>
        <w:rPr>
          <w:rtl/>
        </w:rPr>
      </w:pPr>
      <w:r>
        <w:rPr>
          <w:rFonts w:cs="David" w:hint="cs"/>
          <w:rtl/>
        </w:rPr>
        <w:t>           בסעיף 10 ג' להסכם ת / 1 נקבע כי :</w:t>
      </w:r>
    </w:p>
    <w:p w:rsidR="00000000" w:rsidRDefault="009B68CB">
      <w:pPr>
        <w:spacing w:after="0" w:line="360" w:lineRule="auto"/>
        <w:ind w:left="657" w:hanging="657"/>
        <w:jc w:val="both"/>
        <w:rPr>
          <w:rtl/>
        </w:rPr>
      </w:pPr>
      <w:r>
        <w:rPr>
          <w:rFonts w:cs="David" w:hint="cs"/>
          <w:rtl/>
        </w:rPr>
        <w:t> </w:t>
      </w:r>
    </w:p>
    <w:p w:rsidR="00000000" w:rsidRDefault="009B68CB">
      <w:pPr>
        <w:spacing w:after="0" w:line="360" w:lineRule="auto"/>
        <w:ind w:left="2216" w:right="993" w:hanging="2216"/>
        <w:jc w:val="both"/>
        <w:rPr>
          <w:rtl/>
        </w:rPr>
      </w:pPr>
      <w:r>
        <w:rPr>
          <w:rFonts w:cs="David" w:hint="cs"/>
          <w:rtl/>
        </w:rPr>
        <w:t>                                     " לכל צד בהסכם זה תהיה הזעות הבלעדית לשווק לשותפות את המוצרים אשר בשטח התמחותו. רשימת המוצרים שישווקו בלעדית ע"</w:t>
      </w:r>
      <w:r>
        <w:rPr>
          <w:rFonts w:cs="David" w:hint="cs"/>
          <w:rtl/>
        </w:rPr>
        <w:t>י כל אחד מהצדדים מצורפת להסכם מסומנת ג' ומהווה חלק בלתי נפרד ממנו".</w:t>
      </w:r>
    </w:p>
    <w:p w:rsidR="00000000" w:rsidRDefault="009B68CB">
      <w:pPr>
        <w:spacing w:after="0" w:line="360" w:lineRule="auto"/>
        <w:ind w:left="2216" w:right="993" w:hanging="2216"/>
        <w:jc w:val="both"/>
        <w:rPr>
          <w:rtl/>
        </w:rPr>
      </w:pPr>
      <w:r>
        <w:rPr>
          <w:rFonts w:cs="David" w:hint="cs"/>
          <w:rtl/>
        </w:rPr>
        <w:t> </w:t>
      </w:r>
    </w:p>
    <w:p w:rsidR="00000000" w:rsidRDefault="009B68CB">
      <w:pPr>
        <w:spacing w:after="0" w:line="360" w:lineRule="auto"/>
        <w:ind w:left="515" w:hanging="515"/>
        <w:jc w:val="both"/>
        <w:rPr>
          <w:rtl/>
        </w:rPr>
      </w:pPr>
      <w:r>
        <w:rPr>
          <w:rFonts w:cs="David" w:hint="cs"/>
          <w:rtl/>
        </w:rPr>
        <w:t>         ברשימה המצורפת ניתנה למערערת בלעדיות בהספקת מוצרי בשר מעובדים (למעט מוצרי בשר מסויימים שיסופקו ע" המשיבה 3 בלבד), גלידות ושלגונים, עופות וכל מוצרי ענף הלול טריים ומעובדים וכן דב</w:t>
      </w:r>
      <w:r>
        <w:rPr>
          <w:rFonts w:cs="David" w:hint="cs"/>
          <w:rtl/>
        </w:rPr>
        <w:t>ש.</w:t>
      </w:r>
    </w:p>
    <w:p w:rsidR="00000000" w:rsidRDefault="009B68CB">
      <w:pPr>
        <w:spacing w:after="0" w:line="360" w:lineRule="auto"/>
        <w:ind w:left="515" w:hanging="515"/>
        <w:jc w:val="both"/>
        <w:rPr>
          <w:rtl/>
        </w:rPr>
      </w:pPr>
      <w:r>
        <w:rPr>
          <w:rFonts w:cs="David" w:hint="cs"/>
          <w:rtl/>
        </w:rPr>
        <w:t> </w:t>
      </w:r>
    </w:p>
    <w:p w:rsidR="00000000" w:rsidRDefault="009B68CB">
      <w:pPr>
        <w:spacing w:after="0" w:line="360" w:lineRule="auto"/>
        <w:ind w:left="515" w:hanging="515"/>
        <w:jc w:val="both"/>
        <w:rPr>
          <w:rtl/>
        </w:rPr>
      </w:pPr>
      <w:r>
        <w:rPr>
          <w:rFonts w:cs="David" w:hint="cs"/>
          <w:rtl/>
        </w:rPr>
        <w:t>         המערערת והשותפים קיימו את ההסכם ת / 1 ובשל כך לא נכנסו לסופר שוק שהוקם ותופעל על ידי השותפות ונקרא "לב הנגב", מוצרים של חברת "זוגלובק" שבתחום הבשר ושל חברת "שטראוס" שבתחום החלב והגלידות .</w:t>
      </w:r>
    </w:p>
    <w:p w:rsidR="00000000" w:rsidRDefault="009B68CB">
      <w:pPr>
        <w:spacing w:after="0" w:line="360" w:lineRule="auto"/>
        <w:ind w:left="515" w:hanging="515"/>
        <w:jc w:val="both"/>
        <w:rPr>
          <w:rtl/>
        </w:rPr>
      </w:pPr>
      <w:r>
        <w:rPr>
          <w:rFonts w:cs="David" w:hint="cs"/>
          <w:rtl/>
        </w:rPr>
        <w:t> </w:t>
      </w:r>
    </w:p>
    <w:p w:rsidR="00000000" w:rsidRDefault="009B68CB">
      <w:pPr>
        <w:spacing w:after="0" w:line="360" w:lineRule="auto"/>
        <w:ind w:left="515" w:hanging="515"/>
        <w:jc w:val="both"/>
        <w:rPr>
          <w:rtl/>
        </w:rPr>
      </w:pPr>
      <w:r>
        <w:rPr>
          <w:rFonts w:cs="David" w:hint="cs"/>
          <w:rtl/>
        </w:rPr>
        <w:t>         "המשביר לצרכן" ו"המזביר המרכזי" פרשו מהשותפ</w:t>
      </w:r>
      <w:r>
        <w:rPr>
          <w:rFonts w:cs="David" w:hint="cs"/>
          <w:rtl/>
        </w:rPr>
        <w:t>ות כשנה לאחר הקמתה ונגד שני אלה לא הוגש כתב אישום.</w:t>
      </w:r>
    </w:p>
    <w:p w:rsidR="00000000" w:rsidRDefault="009B68CB">
      <w:pPr>
        <w:spacing w:after="0" w:line="360" w:lineRule="auto"/>
        <w:ind w:left="515" w:hanging="515"/>
        <w:jc w:val="both"/>
        <w:rPr>
          <w:rtl/>
        </w:rPr>
      </w:pPr>
      <w:r>
        <w:rPr>
          <w:rFonts w:cs="David" w:hint="cs"/>
          <w:rtl/>
        </w:rPr>
        <w:t> </w:t>
      </w:r>
    </w:p>
    <w:p w:rsidR="00000000" w:rsidRDefault="009B68CB">
      <w:pPr>
        <w:spacing w:after="0" w:line="360" w:lineRule="auto"/>
        <w:ind w:left="515" w:hanging="515"/>
        <w:jc w:val="both"/>
        <w:rPr>
          <w:rtl/>
        </w:rPr>
      </w:pPr>
      <w:r>
        <w:rPr>
          <w:rFonts w:cs="David" w:hint="cs"/>
          <w:rtl/>
        </w:rPr>
        <w:t>         המערערים טענו בבית משפט וגם בפנינו כי הסדר השותפות שאליו נכנסו הנ"ל איננו הסדר כובל לפי החוק, כמו-כן, טענו המערערים  שאפילו יש פסול בהסדר הרי לא הם או המשיבה מס' 3 אחראים לכך, אלא השותפות שהוקמה</w:t>
      </w:r>
      <w:r>
        <w:rPr>
          <w:rFonts w:cs="David" w:hint="cs"/>
          <w:rtl/>
        </w:rPr>
        <w:t xml:space="preserve"> ושהפעילה את הסופר שוק "לב הנגב". שותפות זו היא אישיות משפטית נפרדת, והיא כלל לא הואשמה בכתב האישום שהוגש נגד המערערת ונגד המשיבה 3 ומנהליה בלבד.</w:t>
      </w:r>
    </w:p>
    <w:p w:rsidR="00000000" w:rsidRDefault="009B68CB">
      <w:pPr>
        <w:spacing w:after="0" w:line="360" w:lineRule="auto"/>
        <w:ind w:left="515" w:hanging="515"/>
        <w:jc w:val="both"/>
        <w:rPr>
          <w:rtl/>
        </w:rPr>
      </w:pPr>
      <w:r>
        <w:rPr>
          <w:rFonts w:cs="David" w:hint="cs"/>
          <w:rtl/>
        </w:rPr>
        <w:t> </w:t>
      </w:r>
    </w:p>
    <w:p w:rsidR="00000000" w:rsidRDefault="009B68CB">
      <w:pPr>
        <w:spacing w:after="0" w:line="360" w:lineRule="auto"/>
        <w:ind w:left="515" w:hanging="515"/>
        <w:jc w:val="both"/>
        <w:rPr>
          <w:rtl/>
        </w:rPr>
      </w:pPr>
      <w:r>
        <w:rPr>
          <w:rFonts w:cs="David" w:hint="cs"/>
          <w:rtl/>
        </w:rPr>
        <w:t>         בסעיף 2 לחוק ההגבלים העסקיים כלשונו בעת שנעברה העבירה נאמר:</w:t>
      </w:r>
    </w:p>
    <w:p w:rsidR="00000000" w:rsidRDefault="009B68CB">
      <w:pPr>
        <w:spacing w:after="0" w:line="360" w:lineRule="auto"/>
        <w:ind w:left="515" w:hanging="515"/>
        <w:jc w:val="both"/>
        <w:rPr>
          <w:rtl/>
        </w:rPr>
      </w:pPr>
      <w:r>
        <w:rPr>
          <w:rFonts w:cs="David" w:hint="cs"/>
          <w:rtl/>
        </w:rPr>
        <w:t> </w:t>
      </w:r>
    </w:p>
    <w:p w:rsidR="00000000" w:rsidRDefault="009B68CB">
      <w:pPr>
        <w:spacing w:after="0" w:line="360" w:lineRule="auto"/>
        <w:ind w:left="515" w:hanging="515"/>
        <w:jc w:val="both"/>
        <w:rPr>
          <w:rtl/>
        </w:rPr>
      </w:pPr>
      <w:r>
        <w:rPr>
          <w:rFonts w:cs="David" w:hint="cs"/>
          <w:rtl/>
        </w:rPr>
        <w:t> </w:t>
      </w:r>
    </w:p>
    <w:p w:rsidR="00000000" w:rsidRDefault="009B68CB">
      <w:pPr>
        <w:spacing w:after="0" w:line="360" w:lineRule="auto"/>
        <w:ind w:left="2216" w:right="1560" w:hanging="2216"/>
        <w:jc w:val="both"/>
        <w:rPr>
          <w:rtl/>
        </w:rPr>
      </w:pPr>
      <w:r>
        <w:rPr>
          <w:rFonts w:cs="David" w:hint="cs"/>
          <w:rtl/>
        </w:rPr>
        <w:t>                                   </w:t>
      </w:r>
      <w:r>
        <w:rPr>
          <w:rFonts w:cs="David" w:hint="cs"/>
          <w:rtl/>
        </w:rPr>
        <w:t>  "הסדר כובל הוא הסדר בין בני אדם המנהלים עסקים הבא לנוע או להגביל במפורש או מכללא את אחד הצדדים להסדר באחד הענינים המנויים להלן לגבי מצרך או שירות (להלן כבילה) .... באלה הענינים: (3) העיסוק , תנאיו צרכיו, כמותו , איכותו או סוגו".</w:t>
      </w:r>
    </w:p>
    <w:p w:rsidR="00000000" w:rsidRDefault="009B68CB">
      <w:pPr>
        <w:spacing w:after="0" w:line="360" w:lineRule="auto"/>
        <w:ind w:left="2216" w:right="1560" w:hanging="2216"/>
        <w:jc w:val="both"/>
        <w:rPr>
          <w:rtl/>
        </w:rPr>
      </w:pPr>
      <w:r>
        <w:rPr>
          <w:rFonts w:cs="David" w:hint="cs"/>
          <w:rtl/>
        </w:rPr>
        <w:lastRenderedPageBreak/>
        <w:t> </w:t>
      </w:r>
    </w:p>
    <w:p w:rsidR="00000000" w:rsidRDefault="009B68CB">
      <w:pPr>
        <w:spacing w:after="0" w:line="360" w:lineRule="auto"/>
        <w:ind w:left="515" w:hanging="515"/>
        <w:jc w:val="both"/>
        <w:rPr>
          <w:rtl/>
        </w:rPr>
      </w:pPr>
      <w:r>
        <w:rPr>
          <w:rFonts w:cs="David" w:hint="cs"/>
          <w:rtl/>
        </w:rPr>
        <w:t> </w:t>
      </w:r>
    </w:p>
    <w:p w:rsidR="00000000" w:rsidRDefault="009B68CB">
      <w:pPr>
        <w:spacing w:after="0" w:line="360" w:lineRule="auto"/>
        <w:ind w:left="515" w:hanging="515"/>
        <w:jc w:val="both"/>
        <w:rPr>
          <w:rtl/>
        </w:rPr>
      </w:pPr>
      <w:r>
        <w:rPr>
          <w:rFonts w:cs="David" w:hint="cs"/>
          <w:rtl/>
        </w:rPr>
        <w:t> </w:t>
      </w:r>
    </w:p>
    <w:p w:rsidR="00000000" w:rsidRDefault="009B68CB">
      <w:pPr>
        <w:spacing w:after="0" w:line="360" w:lineRule="auto"/>
        <w:ind w:left="515" w:hanging="515"/>
        <w:jc w:val="both"/>
        <w:rPr>
          <w:rtl/>
        </w:rPr>
      </w:pPr>
      <w:r>
        <w:rPr>
          <w:rFonts w:cs="David" w:hint="cs"/>
          <w:rtl/>
        </w:rPr>
        <w:t>         לדעת בית מ</w:t>
      </w:r>
      <w:r>
        <w:rPr>
          <w:rFonts w:cs="David" w:hint="cs"/>
          <w:rtl/>
        </w:rPr>
        <w:t>שפט קמא הוראות הסעיף הנ"ל באו ביןם היתר למנוע הקניית בלעדיות לגוף כלשהו בשווק מוצריו בלחי שיהיה חשוף להתחרות. מה שארע במקרה הנדון הוא הסכם השותפות הגביל את זכותה של המשיבה 3 למכור בסופר -שוק, בתחום החלב והבשר כנ"ל, מוצרים שאינם של המערערת.</w:t>
      </w:r>
    </w:p>
    <w:p w:rsidR="00000000" w:rsidRDefault="009B68CB">
      <w:pPr>
        <w:spacing w:after="0" w:line="360" w:lineRule="auto"/>
        <w:ind w:left="515" w:hanging="515"/>
        <w:jc w:val="both"/>
        <w:rPr>
          <w:rtl/>
        </w:rPr>
      </w:pPr>
      <w:r>
        <w:rPr>
          <w:rFonts w:cs="David" w:hint="cs"/>
          <w:rtl/>
        </w:rPr>
        <w:t> </w:t>
      </w:r>
    </w:p>
    <w:p w:rsidR="00000000" w:rsidRDefault="009B68CB">
      <w:pPr>
        <w:spacing w:after="0" w:line="360" w:lineRule="auto"/>
        <w:ind w:left="515" w:hanging="515"/>
        <w:jc w:val="both"/>
        <w:rPr>
          <w:rtl/>
        </w:rPr>
      </w:pPr>
      <w:r>
        <w:rPr>
          <w:rFonts w:cs="David" w:hint="cs"/>
          <w:rtl/>
        </w:rPr>
        <w:t xml:space="preserve">         </w:t>
      </w:r>
      <w:r>
        <w:rPr>
          <w:rFonts w:cs="David" w:hint="cs"/>
          <w:rtl/>
        </w:rPr>
        <w:t>אשר לטענת המערערים שלא "תנובה" או יתר הנאשמים הפעילו את הסופר-שוק הנ"ל אל השותפות לאפשר לכל אחד מארבעת השותפים את היכולת לשווק מוצריו בסופר-שוק.</w:t>
      </w:r>
    </w:p>
    <w:p w:rsidR="00000000" w:rsidRDefault="009B68CB">
      <w:pPr>
        <w:spacing w:after="0" w:line="360" w:lineRule="auto"/>
        <w:ind w:left="515" w:hanging="515"/>
        <w:jc w:val="both"/>
        <w:rPr>
          <w:rtl/>
        </w:rPr>
      </w:pPr>
      <w:r>
        <w:rPr>
          <w:rFonts w:cs="David" w:hint="cs"/>
          <w:rtl/>
        </w:rPr>
        <w:t> </w:t>
      </w:r>
    </w:p>
    <w:p w:rsidR="00000000" w:rsidRDefault="009B68CB">
      <w:pPr>
        <w:spacing w:after="0" w:line="360" w:lineRule="auto"/>
        <w:ind w:left="515" w:hanging="515"/>
        <w:jc w:val="both"/>
        <w:rPr>
          <w:rtl/>
        </w:rPr>
      </w:pPr>
      <w:r>
        <w:rPr>
          <w:rFonts w:cs="David" w:hint="cs"/>
          <w:rtl/>
        </w:rPr>
        <w:t>         עצם קיומה של השותפות אין לה כל השלכה על היותו או אי היותו של הסדר מסויים הסדר כובל. אם לא תאמר כך, י</w:t>
      </w:r>
      <w:r>
        <w:rPr>
          <w:rFonts w:cs="David" w:hint="cs"/>
          <w:rtl/>
        </w:rPr>
        <w:t>רוקן חוק ההגבלים העסקיים או לפחות, הסעיף שבנדון, מכל תוכנו. כמעט תמיד ניתן לומר שהסדר שניתן בין שני צדדים או יותר שיש בו כבילה, יוצר שותפות לפי פקודת השותפות, כאשר המחוקק בחוק הנ"ל רצה להוציא מתחולתו הסדרים מסויימים, הוא עשה זאת כמפורש. כך לדוגמא אמר המחוק</w:t>
      </w:r>
      <w:r>
        <w:rPr>
          <w:rFonts w:cs="David" w:hint="cs"/>
          <w:rtl/>
        </w:rPr>
        <w:t xml:space="preserve">ק (בסעיף 7) כי הסדר שארגון עובדים או מעבידים צד לו וכבילותיו נוגעות להעסקתם של עובדים ולתנאי עבודתם איננו הסדר כובל. שותפות איננה נכללת בין ההסדרים שהוצאו מתחולת החוק.  כמקרה דנן השותפות מהווה אורגן שנוצר ע"י השותפים הם שאחריים לפעולת השותפות והם לא איבדו </w:t>
      </w:r>
      <w:r>
        <w:rPr>
          <w:rFonts w:cs="David" w:hint="cs"/>
          <w:rtl/>
        </w:rPr>
        <w:t>את זהותם עם הקמתה.</w:t>
      </w:r>
    </w:p>
    <w:p w:rsidR="00000000" w:rsidRDefault="009B68CB">
      <w:pPr>
        <w:spacing w:after="0" w:line="360" w:lineRule="auto"/>
        <w:ind w:left="515" w:hanging="515"/>
        <w:jc w:val="both"/>
        <w:rPr>
          <w:rtl/>
        </w:rPr>
      </w:pPr>
      <w:r>
        <w:rPr>
          <w:rFonts w:cs="David" w:hint="cs"/>
          <w:rtl/>
        </w:rPr>
        <w:t> </w:t>
      </w:r>
    </w:p>
    <w:p w:rsidR="00000000" w:rsidRDefault="009B68CB">
      <w:pPr>
        <w:spacing w:after="0" w:line="360" w:lineRule="auto"/>
        <w:ind w:left="515" w:hanging="515"/>
        <w:jc w:val="both"/>
        <w:rPr>
          <w:rtl/>
        </w:rPr>
      </w:pPr>
      <w:r>
        <w:rPr>
          <w:rFonts w:cs="David" w:hint="cs"/>
          <w:rtl/>
        </w:rPr>
        <w:t>         לאור האמור לעיל הגיע בית המשפט למסקנה כי ע"י מתן בלעדיות לכל אחד מן השותפים לגבי מוצרים מסויימים נעברו העבירות הנ"ל.</w:t>
      </w:r>
    </w:p>
    <w:p w:rsidR="00000000" w:rsidRDefault="009B68CB">
      <w:pPr>
        <w:spacing w:after="0" w:line="360" w:lineRule="auto"/>
        <w:ind w:left="515" w:hanging="515"/>
        <w:jc w:val="both"/>
        <w:rPr>
          <w:rtl/>
        </w:rPr>
      </w:pPr>
      <w:r>
        <w:rPr>
          <w:rFonts w:cs="David" w:hint="cs"/>
          <w:rtl/>
        </w:rPr>
        <w:t> </w:t>
      </w:r>
    </w:p>
    <w:p w:rsidR="00000000" w:rsidRDefault="009B68CB">
      <w:pPr>
        <w:spacing w:after="0" w:line="360" w:lineRule="auto"/>
        <w:ind w:left="515" w:hanging="515"/>
        <w:jc w:val="both"/>
        <w:rPr>
          <w:rtl/>
        </w:rPr>
      </w:pPr>
      <w:r>
        <w:rPr>
          <w:rFonts w:cs="David" w:hint="cs"/>
          <w:rtl/>
        </w:rPr>
        <w:t>         בערעורים טוענים המערערים את הטענות כדלקמן: בכתב האישום המקורי מצויינות היו שתי כבילות. האחת היא הכ</w:t>
      </w:r>
      <w:r>
        <w:rPr>
          <w:rFonts w:cs="David" w:hint="cs"/>
          <w:rtl/>
        </w:rPr>
        <w:t>בילה הנה"ל שה המשיבה 3 נתנה בלעדיות למערערת מס' 1. השינה זו התחייבות של המערערת מס' 1 להמנע מהקמת מערך קמעונאי מתחרה. אשר לכבילה השניה, בית המשפט הגיע למסקנה שכבילה זו לשם הוכחה. נשאלה איפוא הכבילה הראשונה. ברם כבילה כזו אינה אסורה על פי החוק כפי שלומדים א</w:t>
      </w:r>
      <w:r>
        <w:rPr>
          <w:rFonts w:cs="David" w:hint="cs"/>
          <w:rtl/>
        </w:rPr>
        <w:t>נו מפסק הדין בע.א. 626/70 (שמעוני נגד אולמי לחיים בע"מ פד"י כ"ה (1). עמ' 524.  באותו פס"ד היה הסדר בין בעל אולם חתונות לבין צלמת, לפיו נתן בעל האולם לצלמת זכויות בלעדיות לצלם באולם. הצלמת התחייבה לגבות מבעלי השמחה תשלום שיסוכם עם בעל האולם, ולהפריש חלק ממנ</w:t>
      </w:r>
      <w:r>
        <w:rPr>
          <w:rFonts w:cs="David" w:hint="cs"/>
          <w:rtl/>
        </w:rPr>
        <w:t>ו לבעל האולם.</w:t>
      </w:r>
    </w:p>
    <w:p w:rsidR="00000000" w:rsidRDefault="009B68CB">
      <w:pPr>
        <w:spacing w:after="0" w:line="360" w:lineRule="auto"/>
        <w:ind w:left="515" w:hanging="515"/>
        <w:jc w:val="both"/>
        <w:rPr>
          <w:rtl/>
        </w:rPr>
      </w:pPr>
      <w:r>
        <w:rPr>
          <w:rFonts w:cs="David" w:hint="cs"/>
          <w:rtl/>
        </w:rPr>
        <w:t> </w:t>
      </w:r>
    </w:p>
    <w:p w:rsidR="00000000" w:rsidRDefault="009B68CB">
      <w:pPr>
        <w:spacing w:after="0" w:line="360" w:lineRule="auto"/>
        <w:ind w:left="515" w:hanging="515"/>
        <w:jc w:val="both"/>
        <w:rPr>
          <w:rtl/>
        </w:rPr>
      </w:pPr>
      <w:r>
        <w:rPr>
          <w:rFonts w:cs="David" w:hint="cs"/>
          <w:rtl/>
        </w:rPr>
        <w:t>         נפסק כי בעל האולם זכאי להעניק לזולתו זכיון בלעדי  בהתאם לתנאים שנקבעו ביניהם וכי בעל עזק "הרשאי להגביל את חופש הפעולה של לקוחותיו והוא מגבילו תוך שימוש מקובל בזכותו כבעל מקרקעין, אין לומר עליו שהוא מגביל את חופש העיסוק שלו עצמו בהס</w:t>
      </w:r>
      <w:r>
        <w:rPr>
          <w:rFonts w:cs="David" w:hint="cs"/>
          <w:rtl/>
        </w:rPr>
        <w:t>דר כובל כאשר הוא מעניק זכיון לצד שלישי, כדי שהלה יעשה בתוך המקרקעין אותה שלכאורה גם אינם חורגים מגדר המקובל בשוק החופשי" (שם בעמ' 834).</w:t>
      </w:r>
    </w:p>
    <w:p w:rsidR="00000000" w:rsidRDefault="009B68CB">
      <w:pPr>
        <w:spacing w:after="0" w:line="360" w:lineRule="auto"/>
        <w:ind w:left="515" w:hanging="515"/>
        <w:jc w:val="both"/>
        <w:rPr>
          <w:rtl/>
        </w:rPr>
      </w:pPr>
      <w:r>
        <w:rPr>
          <w:rFonts w:cs="David" w:hint="cs"/>
          <w:rtl/>
        </w:rPr>
        <w:t> </w:t>
      </w:r>
    </w:p>
    <w:p w:rsidR="00000000" w:rsidRDefault="009B68CB">
      <w:pPr>
        <w:spacing w:after="0" w:line="360" w:lineRule="auto"/>
        <w:ind w:left="515" w:hanging="515"/>
        <w:jc w:val="both"/>
        <w:rPr>
          <w:rtl/>
        </w:rPr>
      </w:pPr>
      <w:r>
        <w:rPr>
          <w:rFonts w:cs="David" w:hint="cs"/>
          <w:rtl/>
        </w:rPr>
        <w:t>         ההסדר גם לא כבל לפי פסה"ד הנ"ל את הצלמת. שכן לפני אותו הסדר לא היתה לה מלכתחילה זכות לצלם באולם ללא הסכמת בעל</w:t>
      </w:r>
      <w:r>
        <w:rPr>
          <w:rFonts w:cs="David" w:hint="cs"/>
          <w:rtl/>
        </w:rPr>
        <w:t>יו . מה שנתן לה בעל האולם  היא זכות חדשה כפופה לתנאים מסויימים . לא רק שלא נלקחה ממנה כל זכות אלא שהיא קיבלה זכות נוספת.</w:t>
      </w:r>
    </w:p>
    <w:p w:rsidR="00000000" w:rsidRDefault="009B68CB">
      <w:pPr>
        <w:spacing w:after="0" w:line="360" w:lineRule="auto"/>
        <w:ind w:left="515" w:hanging="515"/>
        <w:jc w:val="both"/>
        <w:rPr>
          <w:rtl/>
        </w:rPr>
      </w:pPr>
      <w:r>
        <w:rPr>
          <w:rFonts w:eastAsia="Times New Roman" w:cs="David" w:hint="cs"/>
          <w:rtl/>
        </w:rPr>
        <w:br w:type="page"/>
      </w:r>
      <w:r>
        <w:rPr>
          <w:rFonts w:cs="David" w:hint="cs"/>
          <w:rtl/>
        </w:rPr>
        <w:t> </w:t>
      </w:r>
    </w:p>
    <w:p w:rsidR="00000000" w:rsidRDefault="009B68CB">
      <w:pPr>
        <w:spacing w:after="0" w:line="360" w:lineRule="auto"/>
        <w:ind w:left="515" w:hanging="515"/>
        <w:jc w:val="both"/>
        <w:rPr>
          <w:rtl/>
        </w:rPr>
      </w:pPr>
      <w:r>
        <w:rPr>
          <w:rFonts w:cs="David" w:hint="cs"/>
          <w:rtl/>
        </w:rPr>
        <w:t>         טוענים המערערים: בין אם נתייחס לעיסקה כפי שתוארה בכתב האישום בתיק שלפנינו ושלפיה הסופר-שוק מופעל ע"י המשיבה 3 , ובין אם הוא</w:t>
      </w:r>
      <w:r>
        <w:rPr>
          <w:rFonts w:cs="David" w:hint="cs"/>
          <w:rtl/>
        </w:rPr>
        <w:t xml:space="preserve"> מופעל ע"י השותפות כפי שנקבע ע"י בית המשפט, הרי לפי האמור בפסה"ד כ ע.א. 626/70 הנ"ל לא נעברה כל עבירה. המערערת כמוה כצלמת אשר קיבלה מאת המחזיק במקרקעין, היינו המשיבה מס' 3, זכיון מסויים. גם כמקרה דנן לא לקח המחזיק במקרקעין מהמערערת מס' 1 כל זכות שהיתה לה ש</w:t>
      </w:r>
      <w:r>
        <w:rPr>
          <w:rFonts w:cs="David" w:hint="cs"/>
          <w:rtl/>
        </w:rPr>
        <w:t>הרי בית המשפט קבע כי לא הוכח שנאסר עליה להקים מערך קמעוני מתחרה. יתרה מזו, אם המחזיקה במקרקעין איננה השותפות שהיא אישיות נפרדת אלא השותפים ובתוכם המערערת, פירושו של הדבר שהמערערת אינה יכולה למנוע מכירתם של מוצרים מתחרים בחנותה שלה. אין כל הבדל מבחינה זו אם</w:t>
      </w:r>
      <w:r>
        <w:rPr>
          <w:rFonts w:cs="David" w:hint="cs"/>
          <w:rtl/>
        </w:rPr>
        <w:t xml:space="preserve"> החנות כולה שייכת לה או רק בחלקה שייכת לה. לא יתכן למנוע מאדם שלא למכור בחנותו שלו מוצרים מתחרים.</w:t>
      </w:r>
    </w:p>
    <w:p w:rsidR="00000000" w:rsidRDefault="009B68CB">
      <w:pPr>
        <w:spacing w:after="0" w:line="360" w:lineRule="auto"/>
        <w:ind w:left="515" w:hanging="515"/>
        <w:jc w:val="both"/>
        <w:rPr>
          <w:rtl/>
        </w:rPr>
      </w:pPr>
      <w:r>
        <w:rPr>
          <w:rFonts w:cs="David" w:hint="cs"/>
          <w:rtl/>
        </w:rPr>
        <w:t> </w:t>
      </w:r>
    </w:p>
    <w:p w:rsidR="00000000" w:rsidRDefault="009B68CB">
      <w:pPr>
        <w:spacing w:after="0" w:line="360" w:lineRule="auto"/>
        <w:ind w:left="515" w:hanging="515"/>
        <w:jc w:val="both"/>
        <w:rPr>
          <w:rtl/>
        </w:rPr>
      </w:pPr>
      <w:r>
        <w:rPr>
          <w:rFonts w:cs="David" w:hint="cs"/>
          <w:rtl/>
        </w:rPr>
        <w:t xml:space="preserve">         ממשיכים וטוענים המערערים: סעיף 2 לחוק הנ"ל הוא הסדר הבא "למנוע או להגביל" את "אחד הצדדים " להסדר. אך השותפות שהוקמה, והיא זו היחידה שהוגבלה בהסכם, </w:t>
      </w:r>
      <w:r>
        <w:rPr>
          <w:rFonts w:cs="David" w:hint="cs"/>
          <w:rtl/>
        </w:rPr>
        <w:t xml:space="preserve">אינה </w:t>
      </w:r>
    </w:p>
    <w:p w:rsidR="00000000" w:rsidRDefault="009B68CB">
      <w:pPr>
        <w:spacing w:after="0" w:line="360" w:lineRule="auto"/>
        <w:ind w:left="515" w:hanging="515"/>
        <w:jc w:val="both"/>
        <w:rPr>
          <w:rtl/>
        </w:rPr>
      </w:pPr>
      <w:r>
        <w:rPr>
          <w:rFonts w:cs="David" w:hint="cs"/>
          <w:rtl/>
        </w:rPr>
        <w:t>         "אחד הצדדים" להסדר.לבסוף, טוענים המערערים כי קביעתו של בית משפט מביאה למסקנה לפיה שותף המתחייב שלא להתחרות בעסקי שותפו עבור עבירה פלילית, שהרי על ידי כך המערערת יצרה את השותפות הנ"ל עם המשיבה 3 נמנע ממנה לאסור על משיבה זו למכור מוצרים מתחרים</w:t>
      </w:r>
      <w:r>
        <w:rPr>
          <w:rFonts w:cs="David" w:hint="cs"/>
          <w:rtl/>
        </w:rPr>
        <w:t xml:space="preserve"> במוצריה. ברם לפי פקודת השותפות, כל שותף חייב בנאמנות כלפי יתר שותפיו, ואסור לו להתחרות בהם. אם קואופ ימכור מוצרים מתחרים למוצרי המערערת מס' 1 יפגע בחוכת הנאמנות שלו , ואם לא ימכור יעבור עבירה פלילית לפי חוק ההגבלים העיסקיים. סתירה זו כשלעצמה בין שני החוקי</w:t>
      </w:r>
      <w:r>
        <w:rPr>
          <w:rFonts w:cs="David" w:hint="cs"/>
          <w:rtl/>
        </w:rPr>
        <w:t>ם די בה כדי לזכות את המערערים.</w:t>
      </w:r>
    </w:p>
    <w:p w:rsidR="00000000" w:rsidRDefault="009B68CB">
      <w:pPr>
        <w:spacing w:after="0" w:line="360" w:lineRule="auto"/>
        <w:jc w:val="both"/>
        <w:rPr>
          <w:rtl/>
        </w:rPr>
      </w:pPr>
      <w:r>
        <w:rPr>
          <w:rFonts w:cs="David" w:hint="cs"/>
          <w:rtl/>
        </w:rPr>
        <w:t> </w:t>
      </w:r>
    </w:p>
    <w:p w:rsidR="00000000" w:rsidRDefault="009B68CB">
      <w:pPr>
        <w:spacing w:after="0" w:line="360" w:lineRule="auto"/>
        <w:ind w:left="515" w:hanging="515"/>
        <w:jc w:val="both"/>
        <w:rPr>
          <w:rtl/>
        </w:rPr>
      </w:pPr>
      <w:r>
        <w:rPr>
          <w:rFonts w:cs="David" w:hint="cs"/>
          <w:rtl/>
        </w:rPr>
        <w:t>         ב"כ המשיבה טוענת שהצדדים האמיתיים להסדר הם המערערת והמשיכה והמשיבה מס' 3. הקמת השותפות כאשר השותפים ממשיכים להתקיים איננה משנה מהמצב, שהרי אחרת ניתן היה לעקוף את חוק ההגבלים העסקיים על ידי יצירת שותפות. כל מטרתו של</w:t>
      </w:r>
      <w:r>
        <w:rPr>
          <w:rFonts w:cs="David" w:hint="cs"/>
          <w:rtl/>
        </w:rPr>
        <w:t xml:space="preserve"> החוק היא לאפשר התחרות ולמנוע מצב בו צדדים יסכימו שלא להתחרות ביניהם. כתוצאה מהסכם כזה עלול צרכן להיפגע. במקרה דנן, צרכן שיכנס לסופר שוק הנ"ל ימצא במדפים רק את המצרכים של השותפים ולא של מתחריהם במצרכים אלה, למרות שהמחירים בהם נמכרים המצרכים על ידי המתחרים </w:t>
      </w:r>
      <w:r>
        <w:rPr>
          <w:rFonts w:cs="David" w:hint="cs"/>
          <w:rtl/>
        </w:rPr>
        <w:t>זולים אולי יותר מהמחירים בהם מוצעים המצרכים למכירה בסופר-שוק.</w:t>
      </w:r>
    </w:p>
    <w:p w:rsidR="00000000" w:rsidRDefault="009B68CB">
      <w:pPr>
        <w:spacing w:after="0" w:line="360" w:lineRule="auto"/>
        <w:jc w:val="both"/>
        <w:rPr>
          <w:rtl/>
        </w:rPr>
      </w:pPr>
      <w:r>
        <w:rPr>
          <w:rFonts w:cs="David" w:hint="cs"/>
          <w:rtl/>
        </w:rPr>
        <w:t> </w:t>
      </w:r>
    </w:p>
    <w:p w:rsidR="00000000" w:rsidRDefault="009B68CB">
      <w:pPr>
        <w:spacing w:after="0" w:line="360" w:lineRule="auto"/>
        <w:ind w:left="515" w:hanging="515"/>
        <w:jc w:val="both"/>
        <w:rPr>
          <w:rtl/>
        </w:rPr>
      </w:pPr>
      <w:r>
        <w:rPr>
          <w:rFonts w:cs="David" w:hint="cs"/>
          <w:rtl/>
        </w:rPr>
        <w:t>         אשר לפס"ד בע.א 626/70 הנ"ל, טוענת המשיבה שהוא מוגבל למצב בו בעל הנכס מקהנה לאחר זכות במקרקעין. במקרה דנן לא הוכח ולא הובאה ראיה שהמערערת רכשה מהמשיבה 3 זכות כזו.</w:t>
      </w:r>
    </w:p>
    <w:p w:rsidR="00000000" w:rsidRDefault="009B68CB">
      <w:pPr>
        <w:spacing w:after="0" w:line="360" w:lineRule="auto"/>
        <w:ind w:left="515" w:hanging="515"/>
        <w:jc w:val="both"/>
        <w:rPr>
          <w:rtl/>
        </w:rPr>
      </w:pPr>
      <w:r>
        <w:rPr>
          <w:rFonts w:cs="David" w:hint="cs"/>
          <w:rtl/>
        </w:rPr>
        <w:t> </w:t>
      </w:r>
    </w:p>
    <w:p w:rsidR="00000000" w:rsidRDefault="009B68CB">
      <w:pPr>
        <w:spacing w:after="0" w:line="360" w:lineRule="auto"/>
        <w:ind w:left="515" w:hanging="515"/>
        <w:jc w:val="both"/>
        <w:rPr>
          <w:rtl/>
        </w:rPr>
      </w:pPr>
      <w:r>
        <w:rPr>
          <w:rFonts w:cs="David" w:hint="cs"/>
          <w:rtl/>
        </w:rPr>
        <w:t> </w:t>
      </w:r>
    </w:p>
    <w:p w:rsidR="00000000" w:rsidRDefault="009B68CB">
      <w:pPr>
        <w:spacing w:after="0" w:line="360" w:lineRule="auto"/>
        <w:ind w:left="515" w:hanging="515"/>
        <w:jc w:val="both"/>
        <w:rPr>
          <w:rtl/>
        </w:rPr>
      </w:pPr>
      <w:r>
        <w:rPr>
          <w:rFonts w:cs="David" w:hint="cs"/>
          <w:rtl/>
        </w:rPr>
        <w:t>         לדעתנו צ</w:t>
      </w:r>
      <w:r>
        <w:rPr>
          <w:rFonts w:cs="David" w:hint="cs"/>
          <w:rtl/>
        </w:rPr>
        <w:t>דק בית משפט קמא בקביעתו שהקמתה של השותפות אינה יכולה לפטור את השוהפים מתחולת החוק , אם ההסדר אליו הגיעו הוא הסדר כובל. רק כאשר מספר צדדים יוצרים בהסדר הכובל גוף נוסף ומפסיקים להתקיים עם יצירתו של גוף זה, ניתן לומר שאין פגיעה בחוק. החוק לא מנע מיזוג בין גופ</w:t>
      </w:r>
      <w:r>
        <w:rPr>
          <w:rFonts w:cs="David" w:hint="cs"/>
          <w:rtl/>
        </w:rPr>
        <w:t>ים מתחרים  כל עוד לא נשארו בידי הצדדים זכויות כלשהן . למסקנה זו הגיעה גם המועצה להגבלים עסקיים כפי שהצביעה ב"כ המשיבה בסיכומיה.</w:t>
      </w:r>
    </w:p>
    <w:p w:rsidR="00000000" w:rsidRDefault="009B68CB">
      <w:pPr>
        <w:spacing w:after="0" w:line="360" w:lineRule="auto"/>
        <w:ind w:left="515" w:hanging="515"/>
        <w:jc w:val="both"/>
        <w:rPr>
          <w:rtl/>
        </w:rPr>
      </w:pPr>
      <w:r>
        <w:rPr>
          <w:rFonts w:cs="David" w:hint="cs"/>
          <w:rtl/>
        </w:rPr>
        <w:t> </w:t>
      </w:r>
    </w:p>
    <w:p w:rsidR="00000000" w:rsidRDefault="009B68CB">
      <w:pPr>
        <w:spacing w:after="0" w:line="360" w:lineRule="auto"/>
        <w:ind w:left="515" w:hanging="515"/>
        <w:jc w:val="both"/>
        <w:rPr>
          <w:rtl/>
        </w:rPr>
      </w:pPr>
      <w:r>
        <w:rPr>
          <w:rFonts w:cs="David" w:hint="cs"/>
          <w:rtl/>
        </w:rPr>
        <w:t>         יש גם הגיון כלכלי ומשפטי בתוצאה כזו, שהרי מהרגע בו התמזגו הגופים הנ"ל שוב אין לי ספקות להסדר הכובל. גם מנוסח ה ******</w:t>
      </w:r>
      <w:r>
        <w:rPr>
          <w:rFonts w:cs="David" w:hint="cs"/>
          <w:rtl/>
        </w:rPr>
        <w:t xml:space="preserve"> של סעיף 2 בחוק ניתן ללמוד כי מרגע שהתמזגו הצדדים להסדר הכובל אין קיים עוד מי שהוגבל באחד העניינים המנויים בסעיפי המשנה.</w:t>
      </w:r>
    </w:p>
    <w:p w:rsidR="00000000" w:rsidRDefault="009B68CB">
      <w:pPr>
        <w:spacing w:after="0" w:line="360" w:lineRule="auto"/>
        <w:ind w:left="515" w:hanging="515"/>
        <w:jc w:val="both"/>
        <w:rPr>
          <w:rtl/>
        </w:rPr>
      </w:pPr>
      <w:r>
        <w:rPr>
          <w:rFonts w:cs="David" w:hint="cs"/>
          <w:rtl/>
        </w:rPr>
        <w:t xml:space="preserve">         </w:t>
      </w:r>
      <w:r>
        <w:rPr>
          <w:rFonts w:cs="David" w:hint="cs"/>
          <w:rtl/>
        </w:rPr>
        <w:t>ברם כאשר הצדדים שיצרו את אותו גוף נוסף, ממשיכים להתקיים ומשאירים בידיהם זכויות לגבי נושא ההסדר, אין הם יכולים כאמור להיפטר מאחריות להסדר, תוך טענה שמי שקיבל על עצמו את ההגבלה הוא הגוף שיצרו.</w:t>
      </w:r>
    </w:p>
    <w:p w:rsidR="00000000" w:rsidRDefault="009B68CB">
      <w:pPr>
        <w:spacing w:after="0" w:line="360" w:lineRule="auto"/>
        <w:ind w:left="515" w:hanging="515"/>
        <w:jc w:val="both"/>
        <w:rPr>
          <w:rtl/>
        </w:rPr>
      </w:pPr>
      <w:r>
        <w:rPr>
          <w:rFonts w:cs="David" w:hint="cs"/>
          <w:rtl/>
        </w:rPr>
        <w:t> </w:t>
      </w:r>
    </w:p>
    <w:p w:rsidR="00000000" w:rsidRDefault="009B68CB">
      <w:pPr>
        <w:spacing w:after="0" w:line="360" w:lineRule="auto"/>
        <w:ind w:left="515" w:hanging="515"/>
        <w:jc w:val="both"/>
        <w:rPr>
          <w:rtl/>
        </w:rPr>
      </w:pPr>
      <w:r>
        <w:rPr>
          <w:rFonts w:cs="David" w:hint="cs"/>
          <w:rtl/>
        </w:rPr>
        <w:t xml:space="preserve">         </w:t>
      </w:r>
      <w:r>
        <w:rPr>
          <w:rFonts w:cs="David" w:hint="cs"/>
          <w:rtl/>
        </w:rPr>
        <w:t>השאלה היא , איפוא, אם ההסדר אליו הגיעו המערערת והמשיבה מס' 3 הוא הסדר כובל?</w:t>
      </w:r>
    </w:p>
    <w:p w:rsidR="00000000" w:rsidRDefault="009B68CB">
      <w:pPr>
        <w:spacing w:after="0" w:line="360" w:lineRule="auto"/>
        <w:ind w:left="515" w:hanging="515"/>
        <w:jc w:val="both"/>
        <w:rPr>
          <w:rtl/>
        </w:rPr>
      </w:pPr>
      <w:r>
        <w:rPr>
          <w:rFonts w:cs="David" w:hint="cs"/>
          <w:rtl/>
        </w:rPr>
        <w:t>         הניתן לאבחן בין המקרה הנדון לבין מה שנקבע כע.א.626/70 הנ"ל? טוענת המשיבה כאמור שהתשובה לשאלה זו היא חיובית. במקרה  הנ"ל נתן בעל האולם לצלמת זכות להיכנס למקרקעין ולצלם . בע</w:t>
      </w:r>
      <w:r>
        <w:rPr>
          <w:rFonts w:cs="David" w:hint="cs"/>
          <w:rtl/>
        </w:rPr>
        <w:t>וד שבמקרה הנדון בפנינו כל שאיפשרה המשיבה 3 למערערת הוא למכור בסופר-שוק שבמקרקעין שלה, שרוה בלעדית של מצרכים.</w:t>
      </w:r>
    </w:p>
    <w:p w:rsidR="00000000" w:rsidRDefault="009B68CB">
      <w:pPr>
        <w:spacing w:after="0" w:line="360" w:lineRule="auto"/>
        <w:ind w:left="515" w:hanging="515"/>
        <w:jc w:val="both"/>
        <w:rPr>
          <w:rtl/>
        </w:rPr>
      </w:pPr>
      <w:r>
        <w:rPr>
          <w:rFonts w:cs="David" w:hint="cs"/>
          <w:rtl/>
        </w:rPr>
        <w:t> </w:t>
      </w:r>
    </w:p>
    <w:p w:rsidR="00000000" w:rsidRDefault="009B68CB">
      <w:pPr>
        <w:spacing w:after="0" w:line="360" w:lineRule="auto"/>
        <w:ind w:left="515" w:hanging="515"/>
        <w:jc w:val="both"/>
        <w:rPr>
          <w:rtl/>
        </w:rPr>
      </w:pPr>
      <w:r>
        <w:rPr>
          <w:rFonts w:cs="David" w:hint="cs"/>
          <w:rtl/>
        </w:rPr>
        <w:t>         סבורים אנו שאין מקום לאבחנה כזו. בשני המקרים מדובר בבעל זכויות במקרקעין (והיא המשיבה 3 ששכרה את המקום מבעליו) המאפשר לאחר שימוש במקרקעין</w:t>
      </w:r>
      <w:r>
        <w:rPr>
          <w:rFonts w:cs="David" w:hint="cs"/>
          <w:rtl/>
        </w:rPr>
        <w:t xml:space="preserve"> שלו תוך ויתור על בלעדיות בשימוש, שהיתה לו לפני אותו הסדר . אם בע.א.626 הנ"ל שעל קביעותיו אמנם נמתחה ביקרות על ידי מלומדים (ראה מאמרו של ד"ר גדעון קריב, חוק ההגבלים העסקיים - הלכה ואין - - כן, הפרקליט כח עמ' 30), שדן בענין אזרחי נקבע שאין ההסדר " כובל", על</w:t>
      </w:r>
      <w:r>
        <w:rPr>
          <w:rFonts w:cs="David" w:hint="cs"/>
          <w:rtl/>
        </w:rPr>
        <w:t xml:space="preserve"> אחת כמה וכמה כשמדובר באישום פלילי לפי החוק האמור.</w:t>
      </w:r>
    </w:p>
    <w:p w:rsidR="00000000" w:rsidRDefault="009B68CB">
      <w:pPr>
        <w:spacing w:after="0" w:line="360" w:lineRule="auto"/>
        <w:ind w:left="515" w:hanging="515"/>
        <w:jc w:val="both"/>
        <w:rPr>
          <w:rtl/>
        </w:rPr>
      </w:pPr>
      <w:r>
        <w:rPr>
          <w:rFonts w:cs="David" w:hint="cs"/>
          <w:rtl/>
        </w:rPr>
        <w:t>         ראוי לציין, שהחוק תוקן בשנת תשמ"ח - 1988 (ס.ח. 1258 ע' 127) ואין (היינו לאחר שהוגש כתב האישום). חולקים כי אילו היהי התיקון בתוקף לא היה מקום לערעור.</w:t>
      </w:r>
    </w:p>
    <w:p w:rsidR="00000000" w:rsidRDefault="009B68CB">
      <w:pPr>
        <w:spacing w:after="0" w:line="360" w:lineRule="auto"/>
        <w:ind w:left="515" w:hanging="515"/>
        <w:jc w:val="both"/>
        <w:rPr>
          <w:rtl/>
        </w:rPr>
      </w:pPr>
      <w:r>
        <w:rPr>
          <w:rFonts w:cs="David" w:hint="cs"/>
          <w:rtl/>
        </w:rPr>
        <w:t> </w:t>
      </w:r>
    </w:p>
    <w:p w:rsidR="00000000" w:rsidRDefault="009B68CB">
      <w:pPr>
        <w:spacing w:after="0" w:line="360" w:lineRule="auto"/>
        <w:ind w:left="515" w:hanging="515"/>
        <w:jc w:val="both"/>
        <w:rPr>
          <w:rtl/>
        </w:rPr>
      </w:pPr>
      <w:r>
        <w:rPr>
          <w:rFonts w:cs="David" w:hint="cs"/>
          <w:rtl/>
        </w:rPr>
        <w:t>                     נוסחו של סעיף 2 (א) בחוק</w:t>
      </w:r>
      <w:r>
        <w:rPr>
          <w:rFonts w:cs="David" w:hint="cs"/>
          <w:rtl/>
        </w:rPr>
        <w:t xml:space="preserve"> כיום הוא:</w:t>
      </w:r>
    </w:p>
    <w:p w:rsidR="00000000" w:rsidRDefault="009B68CB">
      <w:pPr>
        <w:spacing w:after="0" w:line="360" w:lineRule="auto"/>
        <w:ind w:left="515" w:hanging="515"/>
        <w:jc w:val="both"/>
        <w:rPr>
          <w:rtl/>
        </w:rPr>
      </w:pPr>
      <w:r>
        <w:rPr>
          <w:rFonts w:cs="David" w:hint="cs"/>
          <w:rtl/>
        </w:rPr>
        <w:t> </w:t>
      </w:r>
    </w:p>
    <w:p w:rsidR="00000000" w:rsidRDefault="009B68CB">
      <w:pPr>
        <w:spacing w:after="0" w:line="360" w:lineRule="auto"/>
        <w:ind w:left="515" w:hanging="515"/>
        <w:jc w:val="both"/>
        <w:rPr>
          <w:rtl/>
        </w:rPr>
      </w:pPr>
      <w:r>
        <w:rPr>
          <w:rFonts w:cs="David" w:hint="cs"/>
          <w:rtl/>
        </w:rPr>
        <w:t> </w:t>
      </w:r>
    </w:p>
    <w:p w:rsidR="00000000" w:rsidRDefault="009B68CB">
      <w:pPr>
        <w:spacing w:after="0" w:line="360" w:lineRule="auto"/>
        <w:ind w:left="1082" w:right="2127" w:hanging="1082"/>
        <w:jc w:val="both"/>
        <w:rPr>
          <w:rtl/>
        </w:rPr>
      </w:pPr>
      <w:r>
        <w:rPr>
          <w:rFonts w:cs="David" w:hint="cs"/>
          <w:rtl/>
        </w:rPr>
        <w:t>                  "הסדר כובל הוא הסדר הנעשה בין בני אדם המנהלים עסקים, לפיו אחד הצדדים לפחות מגביל עצמו באופן העלול למנוע או להפחית את התחרות בעסקים בינו לבין הצדדים האחרים להסדר, או חלק מהם, או בינו לבין אדם שאינו צד להסדר".</w:t>
      </w:r>
    </w:p>
    <w:p w:rsidR="00000000" w:rsidRDefault="009B68CB">
      <w:pPr>
        <w:spacing w:after="0" w:line="360" w:lineRule="auto"/>
        <w:ind w:left="1082" w:right="2127" w:hanging="1082"/>
        <w:jc w:val="both"/>
        <w:rPr>
          <w:rtl/>
        </w:rPr>
      </w:pPr>
      <w:r>
        <w:rPr>
          <w:rFonts w:cs="David" w:hint="cs"/>
          <w:rtl/>
        </w:rPr>
        <w:t> </w:t>
      </w:r>
    </w:p>
    <w:p w:rsidR="00000000" w:rsidRDefault="009B68CB">
      <w:pPr>
        <w:spacing w:after="0" w:line="360" w:lineRule="auto"/>
        <w:ind w:left="1082" w:hanging="1082"/>
        <w:jc w:val="both"/>
        <w:rPr>
          <w:rtl/>
        </w:rPr>
      </w:pPr>
      <w:r>
        <w:rPr>
          <w:rFonts w:cs="David" w:hint="cs"/>
          <w:rtl/>
        </w:rPr>
        <w:t xml:space="preserve">         </w:t>
      </w:r>
    </w:p>
    <w:p w:rsidR="00000000" w:rsidRDefault="009B68CB">
      <w:pPr>
        <w:spacing w:after="0" w:line="360" w:lineRule="auto"/>
        <w:ind w:left="515" w:hanging="515"/>
        <w:jc w:val="both"/>
        <w:rPr>
          <w:rtl/>
        </w:rPr>
      </w:pPr>
      <w:r>
        <w:rPr>
          <w:rFonts w:cs="David" w:hint="cs"/>
          <w:rtl/>
        </w:rPr>
        <w:t>   </w:t>
      </w:r>
      <w:r>
        <w:rPr>
          <w:rFonts w:cs="David" w:hint="cs"/>
          <w:rtl/>
        </w:rPr>
        <w:t>      במאמרו של זאב גלמור " גישתו של הממונה לפקוח על ההגבלים עסקיים - סוגיות נבחרות" - עיוני משפט 16 589 (1990) בעמ' 596 עומד המחבר על השוני בין החוק שתוקן לבין החוק החדש לענין הגדרת "הסדר כובל". המשמעות כיום של "הגדרת הסדר כובל" בסעיף 2 (א) היא שכל הסדר ב</w:t>
      </w:r>
      <w:r>
        <w:rPr>
          <w:rFonts w:cs="David" w:hint="cs"/>
          <w:rtl/>
        </w:rPr>
        <w:t>ין מנהלי עסקים שיש בו מניעה או הפחתה של התחרות, יחשב כהסדר כובל.</w:t>
      </w:r>
    </w:p>
    <w:p w:rsidR="00000000" w:rsidRDefault="009B68CB">
      <w:pPr>
        <w:spacing w:after="0" w:line="360" w:lineRule="auto"/>
        <w:ind w:left="515" w:hanging="515"/>
        <w:jc w:val="both"/>
        <w:rPr>
          <w:rtl/>
        </w:rPr>
      </w:pPr>
      <w:r>
        <w:rPr>
          <w:rFonts w:cs="David" w:hint="cs"/>
          <w:rtl/>
        </w:rPr>
        <w:t> </w:t>
      </w:r>
    </w:p>
    <w:p w:rsidR="00000000" w:rsidRDefault="009B68CB">
      <w:pPr>
        <w:spacing w:after="0" w:line="360" w:lineRule="auto"/>
        <w:ind w:left="515" w:hanging="515"/>
        <w:jc w:val="both"/>
        <w:rPr>
          <w:rtl/>
        </w:rPr>
      </w:pPr>
      <w:r>
        <w:rPr>
          <w:rFonts w:cs="David" w:hint="cs"/>
          <w:rtl/>
        </w:rPr>
        <w:t>         זו נטישת הגישה הקודמת של הגדרת "הסדר כובל" לפי צורתו ושימת הדגש שבתוכן ובתוצאה הצפויה של ההסדר על ההתחרות" כפי שאומר המחבר המלומד "הגדרה זו היא לכאורה הרחבה ניכרת של מושג ההסדר הכו</w:t>
      </w:r>
      <w:r>
        <w:rPr>
          <w:rFonts w:cs="David" w:hint="cs"/>
          <w:rtl/>
        </w:rPr>
        <w:t>בל ובכוחה להקיף הסדרים שלא היו נחשבים להסדרים כובלים על פי הגדרת החוק הקודם על אף פגיעתם הרעה במצב ההתחרות".</w:t>
      </w:r>
    </w:p>
    <w:p w:rsidR="00000000" w:rsidRDefault="009B68CB">
      <w:pPr>
        <w:spacing w:after="0" w:line="360" w:lineRule="auto"/>
        <w:ind w:left="515" w:hanging="515"/>
        <w:jc w:val="both"/>
        <w:rPr>
          <w:rtl/>
        </w:rPr>
      </w:pPr>
      <w:r>
        <w:rPr>
          <w:rFonts w:cs="David" w:hint="cs"/>
          <w:rtl/>
        </w:rPr>
        <w:t> </w:t>
      </w:r>
    </w:p>
    <w:p w:rsidR="00000000" w:rsidRDefault="009B68CB">
      <w:pPr>
        <w:spacing w:after="0" w:line="360" w:lineRule="auto"/>
        <w:ind w:left="515" w:hanging="515"/>
        <w:jc w:val="both"/>
        <w:rPr>
          <w:rtl/>
        </w:rPr>
      </w:pPr>
      <w:r>
        <w:rPr>
          <w:rFonts w:cs="David" w:hint="cs"/>
          <w:rtl/>
        </w:rPr>
        <w:t>         במקרה הנדון ללא ספק שההסדר בא למנוע התחרות בין הצדדים לו. ברם לאור המצב החוקי כפי שנתפרש בע.א. הנל 626/70 ושהיה קיים לדעתנו בעת שנעשה הה</w:t>
      </w:r>
      <w:r>
        <w:rPr>
          <w:rFonts w:cs="David" w:hint="cs"/>
          <w:rtl/>
        </w:rPr>
        <w:t>סדר, היה מקום לזכות את המערערים וכך אנו עושים.</w:t>
      </w:r>
    </w:p>
    <w:p w:rsidR="00000000" w:rsidRDefault="009B68CB">
      <w:pPr>
        <w:spacing w:after="0" w:line="360" w:lineRule="auto"/>
        <w:ind w:left="515" w:hanging="515"/>
        <w:jc w:val="both"/>
        <w:rPr>
          <w:rtl/>
        </w:rPr>
      </w:pPr>
      <w:r>
        <w:rPr>
          <w:rFonts w:cs="David" w:hint="cs"/>
          <w:rtl/>
        </w:rPr>
        <w:t> </w:t>
      </w:r>
    </w:p>
    <w:p w:rsidR="00000000" w:rsidRDefault="009B68CB">
      <w:pPr>
        <w:spacing w:after="0" w:line="360" w:lineRule="auto"/>
        <w:ind w:left="515" w:hanging="515"/>
        <w:jc w:val="both"/>
        <w:rPr>
          <w:rtl/>
        </w:rPr>
      </w:pPr>
      <w:r>
        <w:rPr>
          <w:rFonts w:cs="David" w:hint="cs"/>
          <w:rtl/>
        </w:rPr>
        <w:t> </w:t>
      </w:r>
    </w:p>
    <w:p w:rsidR="00000000" w:rsidRDefault="009B68CB">
      <w:pPr>
        <w:spacing w:after="0" w:line="360" w:lineRule="auto"/>
        <w:ind w:left="515" w:hanging="515"/>
        <w:jc w:val="both"/>
        <w:rPr>
          <w:rtl/>
        </w:rPr>
      </w:pPr>
      <w:r>
        <w:rPr>
          <w:rFonts w:cs="David" w:hint="cs"/>
          <w:rtl/>
        </w:rPr>
        <w:t>         אם הקנסות שולמו על די המערערים הם יוחזרו להם.</w:t>
      </w:r>
    </w:p>
    <w:p w:rsidR="00000000" w:rsidRDefault="009B68CB">
      <w:pPr>
        <w:spacing w:after="0" w:line="360" w:lineRule="auto"/>
        <w:ind w:left="515" w:hanging="515"/>
        <w:jc w:val="both"/>
        <w:rPr>
          <w:rtl/>
        </w:rPr>
      </w:pPr>
      <w:r>
        <w:rPr>
          <w:rFonts w:cs="David" w:hint="cs"/>
          <w:rtl/>
        </w:rPr>
        <w:t> </w:t>
      </w:r>
    </w:p>
    <w:p w:rsidR="00000000" w:rsidRDefault="009B68CB">
      <w:pPr>
        <w:spacing w:after="0" w:line="360" w:lineRule="auto"/>
        <w:ind w:left="515" w:hanging="515"/>
        <w:jc w:val="both"/>
        <w:rPr>
          <w:rtl/>
        </w:rPr>
      </w:pPr>
      <w:r>
        <w:rPr>
          <w:rFonts w:cs="David" w:hint="cs"/>
          <w:rtl/>
        </w:rPr>
        <w:t> </w:t>
      </w:r>
    </w:p>
    <w:p w:rsidR="00000000" w:rsidRDefault="009B68CB">
      <w:pPr>
        <w:spacing w:after="0" w:line="360" w:lineRule="auto"/>
        <w:ind w:left="515" w:hanging="515"/>
        <w:jc w:val="both"/>
        <w:rPr>
          <w:rtl/>
        </w:rPr>
      </w:pPr>
      <w:r>
        <w:rPr>
          <w:rFonts w:cs="David" w:hint="cs"/>
          <w:rtl/>
        </w:rPr>
        <w:t>         והודע היום 1.9.93 בנוכחות הצדדים.</w:t>
      </w:r>
    </w:p>
    <w:p w:rsidR="00000000" w:rsidRDefault="009B68CB">
      <w:pPr>
        <w:spacing w:after="0" w:line="360" w:lineRule="auto"/>
        <w:ind w:left="515" w:hanging="515"/>
        <w:jc w:val="both"/>
        <w:rPr>
          <w:rtl/>
        </w:rPr>
      </w:pPr>
      <w:r>
        <w:rPr>
          <w:rFonts w:cs="David" w:hint="cs"/>
          <w:rtl/>
        </w:rPr>
        <w:t> </w:t>
      </w:r>
    </w:p>
    <w:p w:rsidR="00000000" w:rsidRDefault="009B68CB">
      <w:pPr>
        <w:spacing w:after="0" w:line="360" w:lineRule="auto"/>
        <w:ind w:left="515" w:hanging="515"/>
        <w:jc w:val="both"/>
        <w:rPr>
          <w:rtl/>
        </w:rPr>
      </w:pPr>
      <w:r>
        <w:rPr>
          <w:rFonts w:cs="David" w:hint="cs"/>
          <w:rtl/>
        </w:rPr>
        <w:t> </w:t>
      </w:r>
    </w:p>
    <w:p w:rsidR="00000000" w:rsidRDefault="009B68CB">
      <w:pPr>
        <w:spacing w:after="0" w:line="360" w:lineRule="auto"/>
        <w:ind w:left="515" w:hanging="515"/>
        <w:jc w:val="both"/>
        <w:rPr>
          <w:rtl/>
        </w:rPr>
      </w:pPr>
      <w:r>
        <w:rPr>
          <w:rFonts w:cs="David" w:hint="cs"/>
          <w:rtl/>
        </w:rPr>
        <w:t> </w:t>
      </w:r>
    </w:p>
    <w:tbl>
      <w:tblPr>
        <w:bidiVisual/>
        <w:tblW w:w="0" w:type="auto"/>
        <w:tblCellMar>
          <w:left w:w="0" w:type="dxa"/>
          <w:right w:w="0" w:type="dxa"/>
        </w:tblCellMar>
        <w:tblLook w:val="04A0" w:firstRow="1" w:lastRow="0" w:firstColumn="1" w:lastColumn="0" w:noHBand="0" w:noVBand="1"/>
      </w:tblPr>
      <w:tblGrid>
        <w:gridCol w:w="2767"/>
        <w:gridCol w:w="2774"/>
        <w:gridCol w:w="2771"/>
      </w:tblGrid>
      <w:tr w:rsidR="00000000">
        <w:tc>
          <w:tcPr>
            <w:tcW w:w="2842" w:type="dxa"/>
            <w:tcBorders>
              <w:top w:val="single" w:sz="8" w:space="0" w:color="auto"/>
              <w:left w:val="nil"/>
              <w:bottom w:val="nil"/>
              <w:right w:val="nil"/>
            </w:tcBorders>
            <w:tcMar>
              <w:top w:w="0" w:type="dxa"/>
              <w:left w:w="108" w:type="dxa"/>
              <w:bottom w:w="0" w:type="dxa"/>
              <w:right w:w="108" w:type="dxa"/>
            </w:tcMar>
            <w:hideMark/>
          </w:tcPr>
          <w:p w:rsidR="00000000" w:rsidRDefault="009B68CB">
            <w:pPr>
              <w:spacing w:after="0" w:line="360" w:lineRule="auto"/>
              <w:jc w:val="center"/>
              <w:rPr>
                <w:rtl/>
              </w:rPr>
            </w:pPr>
            <w:r>
              <w:rPr>
                <w:rFonts w:cs="David" w:hint="cs"/>
                <w:rtl/>
              </w:rPr>
              <w:t>י. גלעדי - סגן נשיא</w:t>
            </w:r>
          </w:p>
        </w:tc>
        <w:tc>
          <w:tcPr>
            <w:tcW w:w="2842" w:type="dxa"/>
            <w:tcBorders>
              <w:top w:val="single" w:sz="8" w:space="0" w:color="auto"/>
              <w:left w:val="nil"/>
              <w:bottom w:val="nil"/>
              <w:right w:val="nil"/>
            </w:tcBorders>
            <w:tcMar>
              <w:top w:w="0" w:type="dxa"/>
              <w:left w:w="108" w:type="dxa"/>
              <w:bottom w:w="0" w:type="dxa"/>
              <w:right w:w="108" w:type="dxa"/>
            </w:tcMar>
            <w:hideMark/>
          </w:tcPr>
          <w:p w:rsidR="00000000" w:rsidRDefault="009B68CB">
            <w:pPr>
              <w:spacing w:after="0" w:line="360" w:lineRule="auto"/>
              <w:jc w:val="center"/>
              <w:rPr>
                <w:rtl/>
              </w:rPr>
            </w:pPr>
            <w:r>
              <w:rPr>
                <w:rFonts w:cs="David" w:hint="cs"/>
                <w:rtl/>
              </w:rPr>
              <w:t>י. גולדברג - שופט</w:t>
            </w:r>
          </w:p>
        </w:tc>
        <w:tc>
          <w:tcPr>
            <w:tcW w:w="2842" w:type="dxa"/>
            <w:tcBorders>
              <w:top w:val="single" w:sz="8" w:space="0" w:color="auto"/>
              <w:left w:val="nil"/>
              <w:bottom w:val="nil"/>
              <w:right w:val="nil"/>
            </w:tcBorders>
            <w:tcMar>
              <w:top w:w="0" w:type="dxa"/>
              <w:left w:w="108" w:type="dxa"/>
              <w:bottom w:w="0" w:type="dxa"/>
              <w:right w:w="108" w:type="dxa"/>
            </w:tcMar>
            <w:hideMark/>
          </w:tcPr>
          <w:p w:rsidR="00000000" w:rsidRDefault="009B68CB">
            <w:pPr>
              <w:spacing w:after="0" w:line="360" w:lineRule="auto"/>
              <w:jc w:val="center"/>
              <w:rPr>
                <w:rtl/>
              </w:rPr>
            </w:pPr>
            <w:r>
              <w:rPr>
                <w:rFonts w:cs="David" w:hint="cs"/>
                <w:rtl/>
              </w:rPr>
              <w:t>ע. ארבל - שופטת</w:t>
            </w:r>
          </w:p>
        </w:tc>
      </w:tr>
    </w:tbl>
    <w:p w:rsidR="00000000" w:rsidRDefault="009B68CB">
      <w:pPr>
        <w:spacing w:after="0" w:line="360" w:lineRule="auto"/>
        <w:ind w:left="515" w:hanging="515"/>
        <w:jc w:val="both"/>
        <w:rPr>
          <w:rtl/>
        </w:rPr>
      </w:pPr>
      <w:r>
        <w:rPr>
          <w:rFonts w:cs="David" w:hint="cs"/>
          <w:rtl/>
        </w:rPr>
        <w:t>                         אב"ד</w:t>
      </w:r>
    </w:p>
    <w:p w:rsidR="00000000" w:rsidRDefault="009B68CB">
      <w:pPr>
        <w:spacing w:after="0" w:line="360" w:lineRule="auto"/>
        <w:ind w:left="515" w:hanging="515"/>
        <w:jc w:val="both"/>
        <w:rPr>
          <w:rtl/>
        </w:rPr>
      </w:pPr>
      <w:r>
        <w:rPr>
          <w:rFonts w:cs="David" w:hint="cs"/>
          <w:rtl/>
        </w:rPr>
        <w:t> </w:t>
      </w:r>
    </w:p>
    <w:p w:rsidR="00000000" w:rsidRDefault="009B68CB">
      <w:pPr>
        <w:spacing w:after="0" w:line="360" w:lineRule="auto"/>
        <w:ind w:left="515" w:hanging="515"/>
        <w:jc w:val="both"/>
        <w:rPr>
          <w:rtl/>
        </w:rPr>
      </w:pPr>
      <w:r>
        <w:rPr>
          <w:rFonts w:cs="David" w:hint="cs"/>
          <w:rtl/>
        </w:rPr>
        <w:t> </w:t>
      </w:r>
    </w:p>
    <w:p w:rsidR="00000000" w:rsidRDefault="009B68CB">
      <w:pPr>
        <w:spacing w:after="0" w:line="360" w:lineRule="auto"/>
        <w:ind w:left="515" w:hanging="515"/>
        <w:jc w:val="both"/>
        <w:rPr>
          <w:rtl/>
        </w:rPr>
      </w:pPr>
      <w:r>
        <w:rPr>
          <w:rFonts w:cs="David" w:hint="cs"/>
          <w:rtl/>
        </w:rPr>
        <w:t>        </w:t>
      </w:r>
      <w:r>
        <w:rPr>
          <w:rFonts w:cs="David" w:hint="cs"/>
          <w:rtl/>
        </w:rPr>
        <w:t xml:space="preserve"> </w:t>
      </w:r>
    </w:p>
    <w:p w:rsidR="00000000" w:rsidRDefault="009B68CB">
      <w:pPr>
        <w:spacing w:after="0" w:line="360" w:lineRule="auto"/>
        <w:jc w:val="both"/>
        <w:rPr>
          <w:rtl/>
        </w:rPr>
      </w:pPr>
      <w:r>
        <w:rPr>
          <w:rFonts w:cs="David" w:hint="cs"/>
          <w:rtl/>
        </w:rPr>
        <w:t> </w:t>
      </w:r>
    </w:p>
    <w:p w:rsidR="00000000" w:rsidRDefault="009B68CB">
      <w:pPr>
        <w:spacing w:after="0" w:line="360" w:lineRule="auto"/>
        <w:jc w:val="both"/>
        <w:rPr>
          <w:rtl/>
        </w:rPr>
      </w:pPr>
      <w:r>
        <w:rPr>
          <w:rFonts w:cs="David" w:hint="cs"/>
          <w:rtl/>
        </w:rPr>
        <w:t> </w:t>
      </w:r>
    </w:p>
    <w:p w:rsidR="00000000" w:rsidRDefault="009B68CB">
      <w:pPr>
        <w:spacing w:after="0" w:line="360" w:lineRule="auto"/>
        <w:ind w:left="515" w:hanging="515"/>
        <w:jc w:val="both"/>
        <w:rPr>
          <w:rtl/>
        </w:rPr>
      </w:pPr>
      <w:r>
        <w:rPr>
          <w:rFonts w:cs="David" w:hint="cs"/>
          <w:rtl/>
        </w:rPr>
        <w:t> </w:t>
      </w:r>
    </w:p>
    <w:p w:rsidR="00000000" w:rsidRDefault="009B68CB">
      <w:pPr>
        <w:spacing w:after="0" w:line="360" w:lineRule="auto"/>
        <w:ind w:left="515" w:hanging="515"/>
        <w:jc w:val="both"/>
        <w:rPr>
          <w:rtl/>
        </w:rPr>
      </w:pPr>
      <w:r>
        <w:rPr>
          <w:rFonts w:cs="David" w:hint="cs"/>
          <w:rtl/>
        </w:rPr>
        <w:t xml:space="preserve">         </w:t>
      </w:r>
    </w:p>
    <w:p w:rsidR="00000000" w:rsidRDefault="009B68CB">
      <w:pPr>
        <w:spacing w:after="0" w:line="360" w:lineRule="auto"/>
        <w:ind w:left="515" w:hanging="515"/>
        <w:jc w:val="both"/>
        <w:rPr>
          <w:rtl/>
        </w:rPr>
      </w:pPr>
      <w:r>
        <w:rPr>
          <w:rFonts w:cs="David" w:hint="cs"/>
          <w:rtl/>
        </w:rPr>
        <w:t> </w:t>
      </w:r>
    </w:p>
    <w:p w:rsidR="00000000" w:rsidRDefault="009B68CB">
      <w:pPr>
        <w:spacing w:after="0" w:line="360" w:lineRule="auto"/>
        <w:ind w:left="515" w:hanging="515"/>
        <w:jc w:val="both"/>
        <w:rPr>
          <w:rtl/>
        </w:rPr>
      </w:pPr>
      <w:r>
        <w:rPr>
          <w:rFonts w:cs="David" w:hint="cs"/>
          <w:rtl/>
        </w:rPr>
        <w:t> </w:t>
      </w:r>
    </w:p>
    <w:p w:rsidR="00000000" w:rsidRDefault="009B68CB">
      <w:pPr>
        <w:spacing w:after="0" w:line="360" w:lineRule="auto"/>
        <w:ind w:left="515" w:hanging="515"/>
        <w:jc w:val="both"/>
        <w:rPr>
          <w:rtl/>
        </w:rPr>
      </w:pPr>
      <w:r>
        <w:rPr>
          <w:rFonts w:cs="David" w:hint="cs"/>
          <w:rtl/>
        </w:rPr>
        <w:t> </w:t>
      </w:r>
    </w:p>
    <w:p w:rsidR="00000000" w:rsidRDefault="009B68CB">
      <w:pPr>
        <w:spacing w:after="0" w:line="360" w:lineRule="auto"/>
        <w:ind w:left="515" w:hanging="515"/>
        <w:jc w:val="both"/>
        <w:rPr>
          <w:rtl/>
        </w:rPr>
      </w:pPr>
      <w:r>
        <w:rPr>
          <w:rFonts w:cs="David" w:hint="cs"/>
          <w:rtl/>
        </w:rPr>
        <w:t> </w:t>
      </w:r>
    </w:p>
    <w:p w:rsidR="00000000" w:rsidRDefault="009B68CB">
      <w:pPr>
        <w:spacing w:after="0" w:line="360" w:lineRule="auto"/>
        <w:ind w:left="515" w:hanging="515"/>
        <w:jc w:val="both"/>
        <w:rPr>
          <w:rtl/>
        </w:rPr>
      </w:pPr>
      <w:r>
        <w:rPr>
          <w:rFonts w:cs="David" w:hint="cs"/>
          <w:rtl/>
        </w:rPr>
        <w:t> </w:t>
      </w:r>
    </w:p>
    <w:p w:rsidR="00000000" w:rsidRDefault="009B68CB">
      <w:pPr>
        <w:spacing w:after="0" w:line="360" w:lineRule="auto"/>
        <w:ind w:left="657" w:hanging="657"/>
        <w:jc w:val="both"/>
        <w:rPr>
          <w:rtl/>
        </w:rPr>
      </w:pPr>
      <w:r>
        <w:rPr>
          <w:rFonts w:cs="David" w:hint="cs"/>
          <w:rtl/>
        </w:rPr>
        <w:t> </w:t>
      </w:r>
    </w:p>
    <w:p w:rsidR="00000000" w:rsidRDefault="009B68CB">
      <w:pPr>
        <w:spacing w:after="0" w:line="360" w:lineRule="auto"/>
        <w:rPr>
          <w:rtl/>
        </w:rPr>
      </w:pPr>
      <w:r>
        <w:rPr>
          <w:rFonts w:cs="David" w:hint="cs"/>
          <w:rtl/>
        </w:rPr>
        <w:t> </w:t>
      </w:r>
    </w:p>
    <w:p w:rsidR="00000000" w:rsidRDefault="009B68CB">
      <w:pPr>
        <w:spacing w:after="0" w:line="360" w:lineRule="auto"/>
        <w:rPr>
          <w:rtl/>
        </w:rPr>
      </w:pPr>
      <w:r>
        <w:rPr>
          <w:rStyle w:val="Strong"/>
          <w:rFonts w:cs="David" w:hint="cs"/>
          <w:sz w:val="28"/>
          <w:szCs w:val="28"/>
          <w:rtl/>
        </w:rPr>
        <w:t> </w:t>
      </w:r>
    </w:p>
    <w:p w:rsidR="00000000" w:rsidRDefault="009B68CB">
      <w:pPr>
        <w:spacing w:after="0" w:line="360" w:lineRule="auto"/>
        <w:rPr>
          <w:rtl/>
        </w:rPr>
      </w:pPr>
      <w:r>
        <w:rPr>
          <w:rFonts w:cs="David" w:hint="cs"/>
          <w:rtl/>
        </w:rPr>
        <w:t xml:space="preserve">                                                                                                </w:t>
      </w:r>
    </w:p>
    <w:p w:rsidR="00000000" w:rsidRDefault="009B68CB">
      <w:pPr>
        <w:spacing w:after="0" w:line="360" w:lineRule="auto"/>
        <w:rPr>
          <w:rtl/>
        </w:rPr>
      </w:pPr>
      <w:r>
        <w:rPr>
          <w:rFonts w:cs="David" w:hint="cs"/>
          <w:rtl/>
        </w:rPr>
        <w:t> </w:t>
      </w:r>
    </w:p>
    <w:p w:rsidR="00000000" w:rsidRDefault="009B68CB">
      <w:pPr>
        <w:spacing w:after="0" w:line="360" w:lineRule="auto"/>
        <w:rPr>
          <w:rtl/>
        </w:rPr>
      </w:pPr>
      <w:r>
        <w:rPr>
          <w:rFonts w:cs="David" w:hint="cs"/>
          <w:rtl/>
        </w:rPr>
        <w:t> </w:t>
      </w:r>
    </w:p>
    <w:p w:rsidR="00000000" w:rsidRDefault="009B68CB">
      <w:pPr>
        <w:pStyle w:val="Footer"/>
        <w:divId w:val="1243098234"/>
        <w:rPr>
          <w:szCs w:val="14"/>
          <w:rtl/>
        </w:rPr>
      </w:pPr>
    </w:p>
    <w:p w:rsidR="00000000" w:rsidRDefault="009B68CB">
      <w:pPr>
        <w:autoSpaceDE/>
        <w:autoSpaceDN/>
        <w:bidi w:val="0"/>
        <w:spacing w:after="0" w:line="240" w:lineRule="auto"/>
        <w:divId w:val="1243098234"/>
        <w:rPr>
          <w:rFonts w:eastAsia="Times New Roman"/>
          <w:rtl/>
        </w:rPr>
      </w:pPr>
      <w:r>
        <w:rPr>
          <w:rFonts w:eastAsia="Times New Roman" w:hint="cs"/>
        </w:rPr>
        <w:t>\</w:t>
      </w:r>
    </w:p>
    <w:sectPr w:rsidR="00000000">
      <w:pgSz w:w="11906" w:h="16838"/>
      <w:pgMar w:top="1440" w:right="1797" w:bottom="1440" w:left="1797" w:header="708" w:footer="708" w:gutter="0"/>
      <w:cols w:space="708"/>
      <w:bidi/>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9B68CB">
      <w:pPr>
        <w:spacing w:after="0" w:line="240" w:lineRule="auto"/>
      </w:pPr>
      <w:r>
        <w:separator/>
      </w:r>
    </w:p>
  </w:endnote>
  <w:endnote w:type="continuationSeparator" w:id="0">
    <w:p w:rsidR="00000000" w:rsidRDefault="009B68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B1"/>
    <w:family w:val="swiss"/>
    <w:pitch w:val="variable"/>
    <w:sig w:usb0="00000801" w:usb1="00000000" w:usb2="00000000" w:usb3="00000000" w:csb0="0000002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9B68CB">
      <w:pPr>
        <w:spacing w:after="0" w:line="240" w:lineRule="auto"/>
      </w:pPr>
      <w:r>
        <w:separator/>
      </w:r>
    </w:p>
  </w:footnote>
  <w:footnote w:type="continuationSeparator" w:id="0">
    <w:p w:rsidR="00000000" w:rsidRDefault="009B68C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noPunctuationKerning/>
  <w:characterSpacingControl w:val="doNotCompress"/>
  <w:footnotePr>
    <w:footnote w:id="-1"/>
    <w:footnote w:id="0"/>
  </w:footnotePr>
  <w:endnotePr>
    <w:endnote w:id="-1"/>
    <w:endnote w:id="0"/>
  </w:endnotePr>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
  <w:rsids>
    <w:rsidRoot w:val="009B68CB"/>
    <w:rsid w:val="009B68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8C7E6426-250B-4AAE-82B3-CCC99AB824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bidi/>
      <w:spacing w:after="120" w:line="300" w:lineRule="atLeast"/>
    </w:pPr>
    <w:rPr>
      <w:rFonts w:eastAsiaTheme="minorEastAs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pPr>
      <w:autoSpaceDE/>
      <w:autoSpaceDN/>
      <w:bidi w:val="0"/>
      <w:spacing w:before="100" w:beforeAutospacing="1" w:after="100" w:afterAutospacing="1" w:line="240" w:lineRule="auto"/>
    </w:pPr>
  </w:style>
  <w:style w:type="paragraph" w:styleId="Header">
    <w:name w:val="header"/>
    <w:basedOn w:val="Normal"/>
    <w:link w:val="HeaderChar"/>
    <w:uiPriority w:val="99"/>
    <w:semiHidden/>
    <w:unhideWhenUsed/>
    <w:pPr>
      <w:spacing w:after="0"/>
    </w:pPr>
  </w:style>
  <w:style w:type="character" w:customStyle="1" w:styleId="HeaderChar">
    <w:name w:val="Header Char"/>
    <w:basedOn w:val="DefaultParagraphFont"/>
    <w:link w:val="Header"/>
    <w:uiPriority w:val="99"/>
    <w:semiHidden/>
    <w:rPr>
      <w:rFonts w:eastAsiaTheme="minorEastAsia"/>
      <w:sz w:val="24"/>
      <w:szCs w:val="24"/>
    </w:rPr>
  </w:style>
  <w:style w:type="paragraph" w:styleId="FootnoteText">
    <w:name w:val="footnote text"/>
    <w:basedOn w:val="Normal"/>
    <w:link w:val="FootnoteTextChar"/>
    <w:uiPriority w:val="99"/>
    <w:semiHidden/>
    <w:unhideWhenUsed/>
    <w:pPr>
      <w:jc w:val="both"/>
    </w:pPr>
    <w:rPr>
      <w:sz w:val="20"/>
      <w:szCs w:val="20"/>
    </w:rPr>
  </w:style>
  <w:style w:type="character" w:customStyle="1" w:styleId="FootnoteTextChar">
    <w:name w:val="Footnote Text Char"/>
    <w:basedOn w:val="DefaultParagraphFont"/>
    <w:link w:val="FootnoteText"/>
    <w:uiPriority w:val="99"/>
    <w:semiHidden/>
    <w:rPr>
      <w:rFonts w:eastAsiaTheme="minorEastAsia"/>
    </w:rPr>
  </w:style>
  <w:style w:type="paragraph" w:styleId="Footer">
    <w:name w:val="footer"/>
    <w:basedOn w:val="Normal"/>
    <w:link w:val="FooterChar"/>
    <w:uiPriority w:val="99"/>
    <w:semiHidden/>
    <w:unhideWhenUsed/>
  </w:style>
  <w:style w:type="character" w:customStyle="1" w:styleId="FooterChar">
    <w:name w:val="Footer Char"/>
    <w:basedOn w:val="DefaultParagraphFont"/>
    <w:link w:val="Footer"/>
    <w:uiPriority w:val="99"/>
    <w:semiHidden/>
    <w:rPr>
      <w:rFonts w:eastAsiaTheme="minorEastAsia"/>
      <w:sz w:val="24"/>
      <w:szCs w:val="24"/>
    </w:rPr>
  </w:style>
  <w:style w:type="paragraph" w:customStyle="1" w:styleId="a">
    <w:name w:val="a"/>
    <w:basedOn w:val="Normal"/>
    <w:pPr>
      <w:spacing w:after="0"/>
      <w:ind w:left="1440" w:right="1440"/>
      <w:jc w:val="both"/>
    </w:pPr>
  </w:style>
  <w:style w:type="paragraph" w:customStyle="1" w:styleId="a0">
    <w:name w:val="a0"/>
    <w:basedOn w:val="Normal"/>
    <w:pPr>
      <w:bidi w:val="0"/>
      <w:spacing w:after="0"/>
      <w:ind w:left="1440" w:right="1440"/>
      <w:jc w:val="both"/>
    </w:pPr>
    <w:rPr>
      <w:i/>
      <w:iCs/>
    </w:rPr>
  </w:style>
  <w:style w:type="paragraph" w:customStyle="1" w:styleId="a1">
    <w:name w:val="a1"/>
    <w:basedOn w:val="Normal"/>
    <w:pPr>
      <w:spacing w:after="0" w:line="360" w:lineRule="auto"/>
      <w:ind w:right="709"/>
    </w:pPr>
    <w:rPr>
      <w:sz w:val="20"/>
      <w:szCs w:val="20"/>
    </w:rPr>
  </w:style>
  <w:style w:type="paragraph" w:customStyle="1" w:styleId="1">
    <w:name w:val="1"/>
    <w:basedOn w:val="Normal"/>
    <w:pPr>
      <w:spacing w:after="0" w:line="240" w:lineRule="auto"/>
      <w:ind w:right="567" w:hanging="567"/>
    </w:pPr>
  </w:style>
  <w:style w:type="paragraph" w:customStyle="1" w:styleId="a2">
    <w:name w:val="a2"/>
    <w:basedOn w:val="Normal"/>
    <w:pPr>
      <w:spacing w:after="240" w:line="240" w:lineRule="auto"/>
      <w:ind w:right="567" w:hanging="567"/>
    </w:pPr>
  </w:style>
  <w:style w:type="character" w:styleId="FootnoteReference">
    <w:name w:val="footnote reference"/>
    <w:basedOn w:val="DefaultParagraphFont"/>
    <w:uiPriority w:val="99"/>
    <w:semiHidden/>
    <w:unhideWhenUsed/>
    <w:rPr>
      <w:rFonts w:cs="David" w:hint="cs"/>
      <w:vertAlign w:val="superscript"/>
    </w:rPr>
  </w:style>
  <w:style w:type="character" w:styleId="PageNumber">
    <w:name w:val="page number"/>
    <w:basedOn w:val="DefaultParagraphFont"/>
    <w:uiPriority w:val="99"/>
    <w:semiHidden/>
    <w:unhideWhenUsed/>
    <w:rPr>
      <w:rFonts w:cs="David" w:hint="cs"/>
    </w:rPr>
  </w:style>
  <w:style w:type="character" w:styleId="Strong">
    <w:name w:val="Strong"/>
    <w:basedOn w:val="DefaultParagraphFont"/>
    <w:uiPriority w:val="22"/>
    <w:qFormat/>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245916">
      <w:marLeft w:val="0"/>
      <w:marRight w:val="0"/>
      <w:marTop w:val="0"/>
      <w:marBottom w:val="0"/>
      <w:divBdr>
        <w:top w:val="none" w:sz="0" w:space="0" w:color="auto"/>
        <w:left w:val="none" w:sz="0" w:space="0" w:color="auto"/>
        <w:bottom w:val="none" w:sz="0" w:space="0" w:color="auto"/>
        <w:right w:val="none" w:sz="0" w:space="0" w:color="auto"/>
      </w:divBdr>
    </w:div>
    <w:div w:id="1243098234">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1740</Words>
  <Characters>8807</Characters>
  <Application>Microsoft Office Word</Application>
  <DocSecurity>0</DocSecurity>
  <Lines>73</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Melita Shafir</dc:creator>
  <cp:keywords/>
  <dc:description/>
  <cp:lastModifiedBy>Melita Shafir</cp:lastModifiedBy>
  <cp:revision>2</cp:revision>
  <dcterms:created xsi:type="dcterms:W3CDTF">2019-01-30T14:15:00Z</dcterms:created>
  <dcterms:modified xsi:type="dcterms:W3CDTF">2019-01-30T14:15:00Z</dcterms:modified>
</cp:coreProperties>
</file>